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161BE3" w14:textId="77777777" w:rsidR="00963FB1" w:rsidRPr="00C5209F" w:rsidRDefault="00990AD8" w:rsidP="00990AD8">
      <w:pPr>
        <w:jc w:val="center"/>
        <w:rPr>
          <w:b/>
          <w:sz w:val="24"/>
          <w:u w:val="single"/>
        </w:rPr>
      </w:pPr>
      <w:bookmarkStart w:id="0" w:name="_GoBack"/>
      <w:bookmarkEnd w:id="0"/>
      <w:r w:rsidRPr="00C5209F">
        <w:rPr>
          <w:b/>
          <w:sz w:val="24"/>
          <w:u w:val="single"/>
        </w:rPr>
        <w:t>M</w:t>
      </w:r>
      <w:r w:rsidR="00963FB1" w:rsidRPr="00C5209F">
        <w:rPr>
          <w:b/>
          <w:sz w:val="24"/>
          <w:u w:val="single"/>
        </w:rPr>
        <w:t>onitoring Risk Level Tool</w:t>
      </w:r>
    </w:p>
    <w:p w14:paraId="0438D59F" w14:textId="77777777" w:rsidR="00963FB1" w:rsidRDefault="00963FB1" w:rsidP="00C128EC">
      <w:pPr>
        <w:jc w:val="center"/>
        <w:rPr>
          <w:b/>
          <w:u w:val="single"/>
        </w:rPr>
      </w:pPr>
    </w:p>
    <w:p w14:paraId="1367D582" w14:textId="77777777" w:rsidR="00414BF0" w:rsidRPr="00AF1CC2" w:rsidRDefault="00414BF0" w:rsidP="00C128EC">
      <w:pPr>
        <w:jc w:val="center"/>
        <w:rPr>
          <w:b/>
          <w:u w:val="single"/>
        </w:rPr>
      </w:pPr>
    </w:p>
    <w:p w14:paraId="11769E2B" w14:textId="427A682B" w:rsidR="00855459" w:rsidRDefault="00976E48" w:rsidP="00855459">
      <w:r w:rsidRPr="00AF1CC2">
        <w:t>I</w:t>
      </w:r>
      <w:r w:rsidR="00AE4B1C" w:rsidRPr="00AF1CC2">
        <w:t>nvestigato</w:t>
      </w:r>
      <w:r w:rsidR="00E521EF" w:rsidRPr="00AF1CC2">
        <w:t>r</w:t>
      </w:r>
      <w:r w:rsidR="00AE4B1C" w:rsidRPr="00AF1CC2">
        <w:t xml:space="preserve">s conducting investigator–initiated </w:t>
      </w:r>
      <w:r w:rsidR="00E521EF" w:rsidRPr="00AF1CC2">
        <w:t>interventional trials</w:t>
      </w:r>
      <w:r w:rsidRPr="00AF1CC2">
        <w:t xml:space="preserve"> </w:t>
      </w:r>
      <w:r w:rsidR="000E21C4">
        <w:t xml:space="preserve">(regulated or non-regulated) </w:t>
      </w:r>
      <w:r w:rsidRPr="00AF1CC2">
        <w:t>can use this tool</w:t>
      </w:r>
      <w:r w:rsidR="00E521EF" w:rsidRPr="00AF1CC2">
        <w:t xml:space="preserve"> to assist them in</w:t>
      </w:r>
      <w:r w:rsidR="00AE4B1C" w:rsidRPr="00AF1CC2">
        <w:t xml:space="preserve"> determining the </w:t>
      </w:r>
      <w:r w:rsidR="00E521EF" w:rsidRPr="00AF1CC2">
        <w:t xml:space="preserve">extent </w:t>
      </w:r>
      <w:r w:rsidR="00AE4B1C" w:rsidRPr="00AF1CC2">
        <w:t xml:space="preserve">of </w:t>
      </w:r>
      <w:r w:rsidR="00E521EF" w:rsidRPr="00AF1CC2">
        <w:t>site monitoring</w:t>
      </w:r>
      <w:r w:rsidR="006853F4">
        <w:t xml:space="preserve"> (i.e. GCP Monitoring)</w:t>
      </w:r>
      <w:r w:rsidR="00E521EF" w:rsidRPr="00AF1CC2">
        <w:t xml:space="preserve"> </w:t>
      </w:r>
      <w:r w:rsidR="00AE4B1C" w:rsidRPr="00AF1CC2">
        <w:t>required for their trial</w:t>
      </w:r>
      <w:r w:rsidR="00E521EF" w:rsidRPr="00AF1CC2">
        <w:t>.</w:t>
      </w:r>
      <w:r w:rsidR="00AE4B1C" w:rsidRPr="00AF1CC2">
        <w:t xml:space="preserve"> Th</w:t>
      </w:r>
      <w:r w:rsidR="009B68B2" w:rsidRPr="00AF1CC2">
        <w:t>is</w:t>
      </w:r>
      <w:r w:rsidR="00AE4B1C" w:rsidRPr="00AF1CC2">
        <w:t xml:space="preserve"> tool is organized so that high</w:t>
      </w:r>
      <w:r w:rsidR="00E521EF" w:rsidRPr="00AF1CC2">
        <w:t>er</w:t>
      </w:r>
      <w:r w:rsidR="00AE4B1C" w:rsidRPr="00AF1CC2">
        <w:t xml:space="preserve"> risk trials (</w:t>
      </w:r>
      <w:r w:rsidR="00E521EF" w:rsidRPr="00AF1CC2">
        <w:t>i.e.</w:t>
      </w:r>
      <w:r w:rsidR="00C5209F">
        <w:t>,</w:t>
      </w:r>
      <w:r w:rsidR="00E521EF" w:rsidRPr="00AF1CC2">
        <w:t xml:space="preserve"> </w:t>
      </w:r>
      <w:r w:rsidR="00AE4B1C" w:rsidRPr="00AF1CC2">
        <w:t>phase 1</w:t>
      </w:r>
      <w:r w:rsidR="007B35CC" w:rsidRPr="00AF1CC2">
        <w:t xml:space="preserve"> </w:t>
      </w:r>
      <w:r w:rsidR="00E521EF" w:rsidRPr="00AF1CC2">
        <w:t xml:space="preserve">trials involving a </w:t>
      </w:r>
      <w:r w:rsidR="00AE4B1C" w:rsidRPr="00AF1CC2">
        <w:t xml:space="preserve">novel investigational product) require the most monitoring. </w:t>
      </w:r>
      <w:r w:rsidR="00963FB1" w:rsidRPr="00AF1CC2">
        <w:t xml:space="preserve">The descriptions for each monitoring level for the research categories can be seen in the legend </w:t>
      </w:r>
      <w:r w:rsidR="00E521EF" w:rsidRPr="00AF1CC2">
        <w:t xml:space="preserve">below. </w:t>
      </w:r>
      <w:r w:rsidR="0082740C">
        <w:t>T</w:t>
      </w:r>
      <w:r w:rsidR="00855459" w:rsidRPr="00AF1CC2">
        <w:t>his tool</w:t>
      </w:r>
      <w:r w:rsidR="0082740C">
        <w:t xml:space="preserve"> may be used </w:t>
      </w:r>
      <w:r w:rsidR="00855459" w:rsidRPr="00AF1CC2">
        <w:t xml:space="preserve">assist with budget justification for funds dedicated </w:t>
      </w:r>
      <w:r w:rsidR="00990AD8">
        <w:t>towards study monitoring. I</w:t>
      </w:r>
      <w:r w:rsidR="00855459" w:rsidRPr="00AF1CC2">
        <w:t xml:space="preserve">nvestigators should strive to meet or exceed the levels of monitoring outlined below. </w:t>
      </w:r>
    </w:p>
    <w:p w14:paraId="3B50CD8B" w14:textId="25EA1D99" w:rsidR="0055667B" w:rsidRDefault="0055667B" w:rsidP="00855459"/>
    <w:p w14:paraId="217E30BB" w14:textId="675D9405" w:rsidR="0055667B" w:rsidRPr="00AF1CC2" w:rsidRDefault="0055667B" w:rsidP="00855459">
      <w:r>
        <w:t>The responsibility of determining the risk level of the trial lies w</w:t>
      </w:r>
      <w:r w:rsidRPr="00F00FF5">
        <w:t>ith the Sponsor of the trial.</w:t>
      </w:r>
      <w:r>
        <w:t xml:space="preserve">  For Investigator Initiated trials this may be an Investigator or Institution. Quality Assurance personnel may be involved. </w:t>
      </w:r>
      <w:r w:rsidR="0028001E">
        <w:t xml:space="preserve">The risk level should be re-evaluated at pre-defined intervals, or more frequently if warranted by circumstances. </w:t>
      </w:r>
    </w:p>
    <w:p w14:paraId="0E9E851B" w14:textId="77777777" w:rsidR="00414BF0" w:rsidRDefault="00414BF0" w:rsidP="00C128EC"/>
    <w:p w14:paraId="72651A19" w14:textId="6CFB2118" w:rsidR="0060444F" w:rsidRPr="006E4E5B" w:rsidRDefault="00C41368" w:rsidP="00C128EC">
      <w:pPr>
        <w:rPr>
          <w:b/>
        </w:rPr>
      </w:pPr>
      <w:r w:rsidRPr="006E4E5B">
        <w:rPr>
          <w:b/>
        </w:rPr>
        <w:t>PLEASE NOTE</w:t>
      </w:r>
      <w:r w:rsidR="00F00FF5">
        <w:rPr>
          <w:b/>
        </w:rPr>
        <w:t>:</w:t>
      </w:r>
      <w:r w:rsidR="005C60C9" w:rsidRPr="006E4E5B">
        <w:rPr>
          <w:b/>
        </w:rPr>
        <w:t xml:space="preserve"> </w:t>
      </w:r>
      <w:r w:rsidR="00855459" w:rsidRPr="006E4E5B">
        <w:rPr>
          <w:b/>
        </w:rPr>
        <w:t>T</w:t>
      </w:r>
      <w:r w:rsidR="00074152" w:rsidRPr="006E4E5B">
        <w:rPr>
          <w:b/>
        </w:rPr>
        <w:t xml:space="preserve">he </w:t>
      </w:r>
      <w:r w:rsidR="00093612" w:rsidRPr="006E4E5B">
        <w:rPr>
          <w:b/>
        </w:rPr>
        <w:t>extent and frequency of monitoring</w:t>
      </w:r>
      <w:r w:rsidR="007B35CC" w:rsidRPr="006E4E5B">
        <w:rPr>
          <w:b/>
        </w:rPr>
        <w:t xml:space="preserve"> </w:t>
      </w:r>
      <w:r w:rsidR="00093612" w:rsidRPr="006E4E5B">
        <w:rPr>
          <w:b/>
        </w:rPr>
        <w:t xml:space="preserve">should be </w:t>
      </w:r>
      <w:r w:rsidR="0060444F" w:rsidRPr="006E4E5B">
        <w:rPr>
          <w:b/>
        </w:rPr>
        <w:t>determined primarily</w:t>
      </w:r>
      <w:r w:rsidR="00093612" w:rsidRPr="006E4E5B">
        <w:rPr>
          <w:b/>
        </w:rPr>
        <w:t xml:space="preserve"> on risk</w:t>
      </w:r>
      <w:r w:rsidR="00814844" w:rsidRPr="006E4E5B">
        <w:rPr>
          <w:b/>
        </w:rPr>
        <w:t xml:space="preserve">, either </w:t>
      </w:r>
      <w:r w:rsidR="00B97E5A" w:rsidRPr="006E4E5B">
        <w:rPr>
          <w:b/>
        </w:rPr>
        <w:t xml:space="preserve">to </w:t>
      </w:r>
      <w:r w:rsidR="00990AD8">
        <w:rPr>
          <w:b/>
        </w:rPr>
        <w:t xml:space="preserve">the </w:t>
      </w:r>
      <w:r w:rsidR="00B97E5A" w:rsidRPr="006E4E5B">
        <w:rPr>
          <w:b/>
        </w:rPr>
        <w:t>participants</w:t>
      </w:r>
      <w:r w:rsidR="00A445B5" w:rsidRPr="006E4E5B">
        <w:rPr>
          <w:b/>
        </w:rPr>
        <w:t xml:space="preserve"> or to the data</w:t>
      </w:r>
      <w:r w:rsidR="00093612" w:rsidRPr="006E4E5B">
        <w:rPr>
          <w:b/>
        </w:rPr>
        <w:t>.  Studies that</w:t>
      </w:r>
      <w:r w:rsidR="00E65A45" w:rsidRPr="006E4E5B">
        <w:rPr>
          <w:b/>
        </w:rPr>
        <w:t xml:space="preserve">, </w:t>
      </w:r>
      <w:r w:rsidR="00093612" w:rsidRPr="006E4E5B">
        <w:rPr>
          <w:b/>
        </w:rPr>
        <w:t xml:space="preserve">by </w:t>
      </w:r>
      <w:r w:rsidR="00E65A45" w:rsidRPr="006E4E5B">
        <w:rPr>
          <w:b/>
        </w:rPr>
        <w:t>definition,</w:t>
      </w:r>
      <w:r w:rsidR="00093612" w:rsidRPr="006E4E5B">
        <w:rPr>
          <w:b/>
        </w:rPr>
        <w:t xml:space="preserve"> fall under a </w:t>
      </w:r>
      <w:r w:rsidR="0060444F" w:rsidRPr="006E4E5B">
        <w:rPr>
          <w:b/>
        </w:rPr>
        <w:t xml:space="preserve">lower monitoring </w:t>
      </w:r>
      <w:r w:rsidR="0079542A" w:rsidRPr="006E4E5B">
        <w:rPr>
          <w:b/>
        </w:rPr>
        <w:t>level</w:t>
      </w:r>
      <w:r w:rsidR="0060444F" w:rsidRPr="006E4E5B">
        <w:rPr>
          <w:b/>
        </w:rPr>
        <w:t xml:space="preserve"> (i.e.</w:t>
      </w:r>
      <w:r w:rsidR="00C5209F">
        <w:rPr>
          <w:b/>
        </w:rPr>
        <w:t>,</w:t>
      </w:r>
      <w:r w:rsidR="0060444F" w:rsidRPr="006E4E5B">
        <w:rPr>
          <w:b/>
        </w:rPr>
        <w:t xml:space="preserve"> Level 2/3) </w:t>
      </w:r>
      <w:r w:rsidR="00E65A45" w:rsidRPr="006E4E5B">
        <w:rPr>
          <w:b/>
        </w:rPr>
        <w:t>may need to be upgraded to a higher level based on</w:t>
      </w:r>
      <w:r w:rsidR="00EB473B" w:rsidRPr="006E4E5B">
        <w:rPr>
          <w:b/>
        </w:rPr>
        <w:t xml:space="preserve"> risk exposure</w:t>
      </w:r>
      <w:r w:rsidR="0060444F" w:rsidRPr="006E4E5B">
        <w:rPr>
          <w:b/>
        </w:rPr>
        <w:t xml:space="preserve"> in the study</w:t>
      </w:r>
      <w:r w:rsidR="00A445B5" w:rsidRPr="006E4E5B">
        <w:rPr>
          <w:b/>
        </w:rPr>
        <w:t xml:space="preserve">.  For example, a trial investigating a new surgical procedure that is </w:t>
      </w:r>
      <w:r w:rsidR="00990AD8">
        <w:rPr>
          <w:b/>
        </w:rPr>
        <w:t>not routinely done at your hospital</w:t>
      </w:r>
      <w:r w:rsidR="00A445B5" w:rsidRPr="006E4E5B">
        <w:rPr>
          <w:b/>
        </w:rPr>
        <w:t xml:space="preserve"> may expose participants to a higher risk</w:t>
      </w:r>
      <w:r w:rsidR="00990AD8">
        <w:rPr>
          <w:b/>
        </w:rPr>
        <w:t>.</w:t>
      </w:r>
      <w:r w:rsidR="00EB473B" w:rsidRPr="006E4E5B">
        <w:rPr>
          <w:b/>
        </w:rPr>
        <w:t xml:space="preserve"> </w:t>
      </w:r>
      <w:r w:rsidR="00093612" w:rsidRPr="006E4E5B">
        <w:rPr>
          <w:b/>
        </w:rPr>
        <w:t xml:space="preserve"> </w:t>
      </w:r>
    </w:p>
    <w:p w14:paraId="2BA72140" w14:textId="77777777" w:rsidR="00C0643D" w:rsidRDefault="00C0643D" w:rsidP="00C128EC"/>
    <w:p w14:paraId="45B36AF1" w14:textId="77777777" w:rsidR="00381914" w:rsidRPr="00AF1CC2" w:rsidRDefault="00963FB1" w:rsidP="00C128EC">
      <w:r w:rsidRPr="00AF1CC2">
        <w:t>In order for this tool to be effective,</w:t>
      </w:r>
      <w:r w:rsidR="00E521EF" w:rsidRPr="00AF1CC2">
        <w:t xml:space="preserve"> it must be used in</w:t>
      </w:r>
      <w:r w:rsidR="007B35CC" w:rsidRPr="00AF1CC2">
        <w:t xml:space="preserve"> </w:t>
      </w:r>
      <w:r w:rsidR="00E521EF" w:rsidRPr="00AF1CC2">
        <w:t xml:space="preserve">conjunction with the trial protocol. </w:t>
      </w:r>
    </w:p>
    <w:p w14:paraId="0F1A7F76" w14:textId="21CE4212" w:rsidR="00963FB1" w:rsidRDefault="004A44AF" w:rsidP="00C128EC">
      <w:r w:rsidRPr="00AF1CC2">
        <w:t xml:space="preserve">Particular emphasis should be placed on high risk/critical data points such as consent process, </w:t>
      </w:r>
      <w:r w:rsidR="00F802AD" w:rsidRPr="00AF1CC2">
        <w:t>participant eligibility criteria, participant SAE’s and primar</w:t>
      </w:r>
      <w:r w:rsidR="00771248" w:rsidRPr="00AF1CC2">
        <w:t>y</w:t>
      </w:r>
      <w:r w:rsidR="00F802AD" w:rsidRPr="00AF1CC2">
        <w:t xml:space="preserve"> endpoints</w:t>
      </w:r>
      <w:r w:rsidR="00E521EF" w:rsidRPr="00AF1CC2">
        <w:t xml:space="preserve">. </w:t>
      </w:r>
      <w:r w:rsidR="003E473A" w:rsidRPr="00AF1CC2">
        <w:t>Determining the maximum source data veri</w:t>
      </w:r>
      <w:r w:rsidR="00E9482B">
        <w:t xml:space="preserve">fication (SDV) error rate that, </w:t>
      </w:r>
      <w:r w:rsidR="003E473A" w:rsidRPr="00AF1CC2">
        <w:t>when</w:t>
      </w:r>
      <w:r w:rsidR="00057413" w:rsidRPr="00AF1CC2">
        <w:t xml:space="preserve"> exceeded</w:t>
      </w:r>
      <w:r w:rsidR="00E9482B">
        <w:t>,</w:t>
      </w:r>
      <w:r w:rsidR="003E473A" w:rsidRPr="00AF1CC2">
        <w:t xml:space="preserve"> would result in additional (i.e. add-on) monitoring is an example of using the protocol in conjunction with this tool.  </w:t>
      </w:r>
      <w:r w:rsidR="00E521EF" w:rsidRPr="00AF1CC2">
        <w:t>Protocols that are more complex</w:t>
      </w:r>
      <w:r w:rsidR="00963FB1" w:rsidRPr="00AF1CC2">
        <w:t xml:space="preserve"> </w:t>
      </w:r>
      <w:r w:rsidR="009C146F">
        <w:t>will</w:t>
      </w:r>
      <w:r w:rsidR="002F6E6E" w:rsidRPr="00AF1CC2">
        <w:t xml:space="preserve"> </w:t>
      </w:r>
      <w:r w:rsidR="00963FB1" w:rsidRPr="00AF1CC2">
        <w:t>require additional/</w:t>
      </w:r>
      <w:r w:rsidR="00771248" w:rsidRPr="00AF1CC2">
        <w:t xml:space="preserve">more intensive </w:t>
      </w:r>
      <w:r w:rsidR="00963FB1" w:rsidRPr="00AF1CC2">
        <w:t xml:space="preserve">monitoring.  Examples of </w:t>
      </w:r>
      <w:r w:rsidR="00F00FF5">
        <w:t xml:space="preserve">study design </w:t>
      </w:r>
      <w:r w:rsidR="00963FB1" w:rsidRPr="00AF1CC2">
        <w:t>that would necessitate changes to the degree/intensity of monitoring include:</w:t>
      </w:r>
    </w:p>
    <w:p w14:paraId="06989887" w14:textId="77777777" w:rsidR="00990AD8" w:rsidRPr="00AF1CC2" w:rsidRDefault="00990AD8" w:rsidP="00C128EC"/>
    <w:p w14:paraId="27203189" w14:textId="00C97BF8" w:rsidR="00963FB1" w:rsidRPr="00AF1CC2" w:rsidRDefault="00963FB1" w:rsidP="00C128EC">
      <w:pPr>
        <w:pStyle w:val="ListParagraph"/>
        <w:numPr>
          <w:ilvl w:val="0"/>
          <w:numId w:val="1"/>
        </w:numPr>
      </w:pPr>
      <w:r w:rsidRPr="00AF1CC2">
        <w:t>Single vs. Multicent</w:t>
      </w:r>
      <w:r w:rsidR="0082740C">
        <w:t>re</w:t>
      </w:r>
      <w:r w:rsidRPr="00AF1CC2">
        <w:t xml:space="preserve"> studies </w:t>
      </w:r>
    </w:p>
    <w:p w14:paraId="19191AFB" w14:textId="77777777" w:rsidR="00963FB1" w:rsidRPr="00AF1CC2" w:rsidRDefault="00963FB1" w:rsidP="00C128EC">
      <w:pPr>
        <w:pStyle w:val="ListParagraph"/>
        <w:numPr>
          <w:ilvl w:val="0"/>
          <w:numId w:val="1"/>
        </w:numPr>
      </w:pPr>
      <w:r w:rsidRPr="00AF1CC2">
        <w:t>Blinded vs. Unblinded studies</w:t>
      </w:r>
    </w:p>
    <w:p w14:paraId="732CCA39" w14:textId="77777777" w:rsidR="00963FB1" w:rsidRPr="00AF1CC2" w:rsidRDefault="00963FB1" w:rsidP="00C128EC">
      <w:pPr>
        <w:pStyle w:val="ListParagraph"/>
        <w:numPr>
          <w:ilvl w:val="0"/>
          <w:numId w:val="1"/>
        </w:numPr>
      </w:pPr>
      <w:r w:rsidRPr="00AF1CC2">
        <w:t>Multiple study arms vs. Single arm studies</w:t>
      </w:r>
    </w:p>
    <w:p w14:paraId="1856F202" w14:textId="77777777" w:rsidR="00AE4B1C" w:rsidRDefault="00AE4B1C" w:rsidP="00AE4B1C">
      <w:pPr>
        <w:pStyle w:val="ListParagraph"/>
      </w:pPr>
    </w:p>
    <w:p w14:paraId="5A8EEF99" w14:textId="79319000" w:rsidR="00963FB1" w:rsidRDefault="00963FB1" w:rsidP="00C128EC">
      <w:r w:rsidRPr="00AF1CC2">
        <w:t>Monitoring frequency</w:t>
      </w:r>
      <w:r w:rsidR="0082740C">
        <w:t xml:space="preserve"> and methods (i.e.</w:t>
      </w:r>
      <w:r w:rsidR="00C5209F">
        <w:t>,</w:t>
      </w:r>
      <w:r w:rsidR="0082740C">
        <w:t xml:space="preserve"> on site or remote)</w:t>
      </w:r>
      <w:r w:rsidRPr="00AF1CC2">
        <w:t xml:space="preserve"> should be fluid in order to allow </w:t>
      </w:r>
      <w:r w:rsidR="0008460F">
        <w:t>additional</w:t>
      </w:r>
      <w:r w:rsidRPr="00AF1CC2">
        <w:t xml:space="preserve"> monitoring </w:t>
      </w:r>
      <w:r w:rsidR="0082740C">
        <w:t xml:space="preserve">or type of monitoring if </w:t>
      </w:r>
      <w:r w:rsidR="0008460F">
        <w:t>required</w:t>
      </w:r>
      <w:r w:rsidRPr="00AF1CC2">
        <w:t>.  Recruitment rates are unpredictable – frequency and number of participant visits may change due to unforeseen circumstances and thus the monitoring frequency</w:t>
      </w:r>
      <w:r w:rsidR="0082740C">
        <w:t>/method</w:t>
      </w:r>
      <w:r w:rsidRPr="00AF1CC2">
        <w:t xml:space="preserve"> must adapt in order to accommodate these fluctuations. A review of the monitoring plan should be performed whenever a change to the protocol is made in order to ensure that the plan remains applicable to the conduct of the study.</w:t>
      </w:r>
    </w:p>
    <w:p w14:paraId="388A9540" w14:textId="77777777" w:rsidR="007A277C" w:rsidRPr="00AF1CC2" w:rsidRDefault="006E4E5B" w:rsidP="00C128EC">
      <w:pPr>
        <w:rPr>
          <w:lang w:val="en-CA"/>
        </w:rPr>
      </w:pPr>
      <w:r>
        <w:rPr>
          <w:lang w:val="en-CA"/>
        </w:rPr>
        <w:br w:type="page"/>
      </w:r>
    </w:p>
    <w:tbl>
      <w:tblPr>
        <w:tblpPr w:leftFromText="180" w:rightFromText="180" w:vertAnchor="text" w:horzAnchor="margin" w:tblpY="109"/>
        <w:tblW w:w="5000" w:type="pct"/>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0A0" w:firstRow="1" w:lastRow="0" w:firstColumn="1" w:lastColumn="0" w:noHBand="0" w:noVBand="0"/>
      </w:tblPr>
      <w:tblGrid>
        <w:gridCol w:w="5897"/>
        <w:gridCol w:w="3440"/>
      </w:tblGrid>
      <w:tr w:rsidR="00963FB1" w:rsidRPr="00AF1CC2" w14:paraId="2CF901B8" w14:textId="77777777" w:rsidTr="00683974">
        <w:trPr>
          <w:trHeight w:val="288"/>
        </w:trPr>
        <w:tc>
          <w:tcPr>
            <w:tcW w:w="3158" w:type="pct"/>
            <w:tcBorders>
              <w:top w:val="nil"/>
              <w:left w:val="nil"/>
            </w:tcBorders>
            <w:vAlign w:val="center"/>
          </w:tcPr>
          <w:p w14:paraId="378C9BD5" w14:textId="77777777" w:rsidR="00963FB1" w:rsidRPr="00AF1CC2" w:rsidRDefault="00963FB1" w:rsidP="00683974"/>
        </w:tc>
        <w:tc>
          <w:tcPr>
            <w:tcW w:w="1842" w:type="pct"/>
            <w:shd w:val="pct10" w:color="auto" w:fill="auto"/>
            <w:vAlign w:val="center"/>
          </w:tcPr>
          <w:p w14:paraId="2842FD37" w14:textId="77777777" w:rsidR="00963FB1" w:rsidRPr="00AF1CC2" w:rsidRDefault="00963FB1" w:rsidP="00683974">
            <w:pPr>
              <w:jc w:val="center"/>
              <w:rPr>
                <w:b/>
              </w:rPr>
            </w:pPr>
            <w:r w:rsidRPr="00AF1CC2">
              <w:rPr>
                <w:b/>
                <w:szCs w:val="22"/>
              </w:rPr>
              <w:t>Level of Monitoring</w:t>
            </w:r>
          </w:p>
        </w:tc>
      </w:tr>
      <w:tr w:rsidR="00963FB1" w:rsidRPr="00AF1CC2" w14:paraId="09BC9093" w14:textId="77777777" w:rsidTr="00683974">
        <w:trPr>
          <w:trHeight w:val="288"/>
        </w:trPr>
        <w:tc>
          <w:tcPr>
            <w:tcW w:w="3158" w:type="pct"/>
            <w:shd w:val="pct10" w:color="auto" w:fill="auto"/>
            <w:vAlign w:val="center"/>
          </w:tcPr>
          <w:p w14:paraId="67C3C868" w14:textId="77777777" w:rsidR="00963FB1" w:rsidRPr="00AF1CC2" w:rsidRDefault="00963FB1" w:rsidP="00683974">
            <w:pPr>
              <w:rPr>
                <w:b/>
              </w:rPr>
            </w:pPr>
            <w:r w:rsidRPr="00AF1CC2">
              <w:rPr>
                <w:b/>
                <w:szCs w:val="22"/>
              </w:rPr>
              <w:t>Research Category</w:t>
            </w:r>
          </w:p>
        </w:tc>
        <w:tc>
          <w:tcPr>
            <w:tcW w:w="1842" w:type="pct"/>
            <w:shd w:val="pct10" w:color="auto" w:fill="auto"/>
            <w:vAlign w:val="center"/>
          </w:tcPr>
          <w:p w14:paraId="6C581222" w14:textId="4BC73C93" w:rsidR="00963FB1" w:rsidRPr="00AF1CC2" w:rsidRDefault="00963FB1" w:rsidP="00683974">
            <w:pPr>
              <w:jc w:val="center"/>
              <w:rPr>
                <w:b/>
              </w:rPr>
            </w:pPr>
            <w:r w:rsidRPr="00AF1CC2">
              <w:rPr>
                <w:b/>
                <w:szCs w:val="22"/>
              </w:rPr>
              <w:t>Monitoring Required</w:t>
            </w:r>
          </w:p>
        </w:tc>
      </w:tr>
      <w:tr w:rsidR="00963FB1" w:rsidRPr="00AF1CC2" w14:paraId="66CBE48A" w14:textId="77777777" w:rsidTr="00683974">
        <w:trPr>
          <w:trHeight w:val="2016"/>
        </w:trPr>
        <w:tc>
          <w:tcPr>
            <w:tcW w:w="3158" w:type="pct"/>
            <w:vAlign w:val="center"/>
          </w:tcPr>
          <w:p w14:paraId="22031260" w14:textId="77777777" w:rsidR="00963FB1" w:rsidRPr="00AF1CC2" w:rsidRDefault="00F802AD" w:rsidP="00683974">
            <w:pPr>
              <w:rPr>
                <w:b/>
              </w:rPr>
            </w:pPr>
            <w:r w:rsidRPr="00AF1CC2">
              <w:rPr>
                <w:b/>
                <w:szCs w:val="22"/>
              </w:rPr>
              <w:t xml:space="preserve">Phase 1 </w:t>
            </w:r>
          </w:p>
          <w:p w14:paraId="6AE49E7A" w14:textId="77777777" w:rsidR="00414BF0" w:rsidRPr="00AF1CC2" w:rsidRDefault="00F802AD" w:rsidP="00683974">
            <w:pPr>
              <w:rPr>
                <w:rFonts w:cs="Arial"/>
                <w:szCs w:val="22"/>
              </w:rPr>
            </w:pPr>
            <w:r w:rsidRPr="00AF1CC2">
              <w:rPr>
                <w:rFonts w:cs="Arial"/>
                <w:color w:val="000000"/>
                <w:szCs w:val="22"/>
              </w:rPr>
              <w:t>Initial safety studies on a new drug, including the first administration of the drug into humans</w:t>
            </w:r>
            <w:r w:rsidR="00A37EA4">
              <w:rPr>
                <w:rFonts w:cs="Arial"/>
                <w:color w:val="000000"/>
                <w:szCs w:val="22"/>
              </w:rPr>
              <w:t>.</w:t>
            </w:r>
            <w:r w:rsidRPr="00AF1CC2">
              <w:rPr>
                <w:rFonts w:cs="Arial"/>
                <w:color w:val="000000"/>
                <w:szCs w:val="22"/>
              </w:rPr>
              <w:t xml:space="preserve"> Phase I trials are designed mainly to determine the pharmacological actions of the drug and the side effects associated with increasing doses. Pharmacokinetic as well as drug-drug interaction studies are usually considered Phase I trials</w:t>
            </w:r>
            <w:r w:rsidR="009C7BF3" w:rsidRPr="00AF1CC2">
              <w:rPr>
                <w:rFonts w:cs="Arial"/>
                <w:color w:val="000000"/>
                <w:szCs w:val="22"/>
              </w:rPr>
              <w:t>.</w:t>
            </w:r>
            <w:r w:rsidR="00A04E48" w:rsidRPr="00AF1CC2">
              <w:rPr>
                <w:rFonts w:cs="Arial"/>
                <w:color w:val="000000"/>
                <w:szCs w:val="22"/>
              </w:rPr>
              <w:t xml:space="preserve"> </w:t>
            </w:r>
            <w:r w:rsidR="00A04E48" w:rsidRPr="00AF1CC2">
              <w:rPr>
                <w:rFonts w:cs="Arial"/>
                <w:szCs w:val="22"/>
              </w:rPr>
              <w:t xml:space="preserve">  </w:t>
            </w:r>
          </w:p>
        </w:tc>
        <w:tc>
          <w:tcPr>
            <w:tcW w:w="1842" w:type="pct"/>
            <w:vAlign w:val="center"/>
          </w:tcPr>
          <w:p w14:paraId="014247DF" w14:textId="77777777" w:rsidR="00963FB1" w:rsidRPr="00AF1CC2" w:rsidRDefault="00963FB1" w:rsidP="00683974">
            <w:pPr>
              <w:jc w:val="center"/>
              <w:rPr>
                <w:b/>
              </w:rPr>
            </w:pPr>
            <w:r w:rsidRPr="00AF1CC2">
              <w:rPr>
                <w:b/>
                <w:szCs w:val="22"/>
              </w:rPr>
              <w:t>Level 1</w:t>
            </w:r>
          </w:p>
        </w:tc>
      </w:tr>
      <w:tr w:rsidR="007A277C" w:rsidRPr="00AF1CC2" w14:paraId="41212B53" w14:textId="77777777" w:rsidTr="00683974">
        <w:trPr>
          <w:trHeight w:val="2160"/>
        </w:trPr>
        <w:tc>
          <w:tcPr>
            <w:tcW w:w="3158" w:type="pct"/>
            <w:vAlign w:val="center"/>
          </w:tcPr>
          <w:p w14:paraId="370B7A9F" w14:textId="77777777" w:rsidR="007A277C" w:rsidRPr="00AF1CC2" w:rsidRDefault="007A277C" w:rsidP="00683974">
            <w:pPr>
              <w:rPr>
                <w:b/>
                <w:szCs w:val="22"/>
              </w:rPr>
            </w:pPr>
            <w:r w:rsidRPr="00AF1CC2">
              <w:rPr>
                <w:b/>
                <w:szCs w:val="22"/>
              </w:rPr>
              <w:t xml:space="preserve">Phase 2 </w:t>
            </w:r>
          </w:p>
          <w:p w14:paraId="4E6BE7B3" w14:textId="77777777" w:rsidR="007A277C" w:rsidRDefault="007A277C" w:rsidP="00683974">
            <w:pPr>
              <w:tabs>
                <w:tab w:val="center" w:pos="4680"/>
                <w:tab w:val="right" w:pos="9360"/>
              </w:tabs>
              <w:rPr>
                <w:rFonts w:cs="Arial"/>
                <w:color w:val="000000"/>
                <w:szCs w:val="22"/>
              </w:rPr>
            </w:pPr>
            <w:r w:rsidRPr="00AF1CC2">
              <w:rPr>
                <w:rFonts w:cs="Arial"/>
                <w:color w:val="000000"/>
                <w:szCs w:val="22"/>
              </w:rPr>
              <w:t xml:space="preserve">Clinical trials to evaluate the efficacy of the drug in patients with medical conditions to be treated, diagnosed or prevented and to determine the side effects and risks associated with drug. If a new indication for a marketed drug is to be investigated, then those clinical trials may generally be considered Phase </w:t>
            </w:r>
            <w:r w:rsidRPr="00AF1CC2">
              <w:rPr>
                <w:rStyle w:val="HTMLAcronym"/>
                <w:rFonts w:cs="Arial"/>
                <w:color w:val="000000"/>
                <w:szCs w:val="22"/>
              </w:rPr>
              <w:t>II</w:t>
            </w:r>
            <w:r w:rsidRPr="00AF1CC2">
              <w:rPr>
                <w:rFonts w:cs="Arial"/>
                <w:color w:val="000000"/>
                <w:szCs w:val="22"/>
              </w:rPr>
              <w:t xml:space="preserve"> trials.</w:t>
            </w:r>
          </w:p>
          <w:p w14:paraId="1CA491E0" w14:textId="77777777" w:rsidR="00414BF0" w:rsidRPr="00AF1CC2" w:rsidRDefault="00414BF0" w:rsidP="00683974">
            <w:pPr>
              <w:tabs>
                <w:tab w:val="center" w:pos="4680"/>
                <w:tab w:val="right" w:pos="9360"/>
              </w:tabs>
              <w:rPr>
                <w:rFonts w:cs="Arial"/>
                <w:szCs w:val="22"/>
              </w:rPr>
            </w:pPr>
          </w:p>
        </w:tc>
        <w:tc>
          <w:tcPr>
            <w:tcW w:w="1842" w:type="pct"/>
            <w:vMerge w:val="restart"/>
            <w:vAlign w:val="center"/>
          </w:tcPr>
          <w:p w14:paraId="06172633" w14:textId="356BAF6A" w:rsidR="007A277C" w:rsidRPr="00AF1CC2" w:rsidRDefault="007A277C" w:rsidP="00683974">
            <w:pPr>
              <w:jc w:val="center"/>
              <w:rPr>
                <w:b/>
              </w:rPr>
            </w:pPr>
            <w:r w:rsidRPr="00AF1CC2">
              <w:rPr>
                <w:b/>
                <w:szCs w:val="22"/>
              </w:rPr>
              <w:t>Level 2</w:t>
            </w:r>
          </w:p>
        </w:tc>
      </w:tr>
      <w:tr w:rsidR="007A277C" w:rsidRPr="00AF1CC2" w14:paraId="2AFF6E4A" w14:textId="77777777" w:rsidTr="00683974">
        <w:trPr>
          <w:trHeight w:val="1872"/>
        </w:trPr>
        <w:tc>
          <w:tcPr>
            <w:tcW w:w="3158" w:type="pct"/>
            <w:vAlign w:val="center"/>
          </w:tcPr>
          <w:p w14:paraId="3087DCDB" w14:textId="77777777" w:rsidR="007A277C" w:rsidRPr="00AF1CC2" w:rsidRDefault="007A277C" w:rsidP="00683974">
            <w:pPr>
              <w:tabs>
                <w:tab w:val="center" w:pos="4680"/>
                <w:tab w:val="right" w:pos="9360"/>
              </w:tabs>
              <w:rPr>
                <w:b/>
                <w:szCs w:val="22"/>
              </w:rPr>
            </w:pPr>
            <w:r w:rsidRPr="00AF1CC2">
              <w:rPr>
                <w:b/>
                <w:szCs w:val="22"/>
              </w:rPr>
              <w:t xml:space="preserve">Phase 3 </w:t>
            </w:r>
          </w:p>
          <w:p w14:paraId="67307EE5" w14:textId="77777777" w:rsidR="007A277C" w:rsidRDefault="007A277C" w:rsidP="00683974">
            <w:pPr>
              <w:tabs>
                <w:tab w:val="center" w:pos="4680"/>
                <w:tab w:val="right" w:pos="9360"/>
              </w:tabs>
              <w:rPr>
                <w:rFonts w:cs="Arial"/>
                <w:color w:val="000000"/>
                <w:szCs w:val="22"/>
              </w:rPr>
            </w:pPr>
            <w:r w:rsidRPr="00AF1CC2">
              <w:rPr>
                <w:rFonts w:cs="Arial"/>
                <w:color w:val="000000"/>
                <w:szCs w:val="22"/>
              </w:rPr>
              <w:t>Controlled or uncontrolled trials conducted after preliminary evidence suggesting efficacy of the drug has been demonstrated. These are intended to gather the additional information about efficacy and safety that is needed for further risk/benefit assessment of the drug</w:t>
            </w:r>
          </w:p>
          <w:p w14:paraId="4A810004" w14:textId="77777777" w:rsidR="00414BF0" w:rsidRPr="00AF1CC2" w:rsidRDefault="00414BF0" w:rsidP="00683974">
            <w:pPr>
              <w:tabs>
                <w:tab w:val="center" w:pos="4680"/>
                <w:tab w:val="right" w:pos="9360"/>
              </w:tabs>
              <w:rPr>
                <w:rFonts w:cs="Arial"/>
                <w:szCs w:val="22"/>
              </w:rPr>
            </w:pPr>
          </w:p>
        </w:tc>
        <w:tc>
          <w:tcPr>
            <w:tcW w:w="1842" w:type="pct"/>
            <w:vMerge/>
          </w:tcPr>
          <w:p w14:paraId="51EA77B6" w14:textId="77777777" w:rsidR="007A277C" w:rsidRPr="00AF1CC2" w:rsidRDefault="007A277C" w:rsidP="00683974">
            <w:pPr>
              <w:jc w:val="center"/>
              <w:rPr>
                <w:b/>
              </w:rPr>
            </w:pPr>
          </w:p>
        </w:tc>
      </w:tr>
      <w:tr w:rsidR="009C7BF3" w:rsidRPr="00AF1CC2" w14:paraId="26D2A0CE" w14:textId="77777777" w:rsidTr="00683974">
        <w:trPr>
          <w:trHeight w:val="2592"/>
        </w:trPr>
        <w:tc>
          <w:tcPr>
            <w:tcW w:w="3158" w:type="pct"/>
            <w:vAlign w:val="center"/>
          </w:tcPr>
          <w:p w14:paraId="2436D950" w14:textId="77777777" w:rsidR="009C7BF3" w:rsidRPr="00AF1CC2" w:rsidRDefault="00A04E48" w:rsidP="00683974">
            <w:pPr>
              <w:tabs>
                <w:tab w:val="center" w:pos="4680"/>
                <w:tab w:val="right" w:pos="9360"/>
              </w:tabs>
              <w:rPr>
                <w:b/>
              </w:rPr>
            </w:pPr>
            <w:r w:rsidRPr="00AF1CC2">
              <w:rPr>
                <w:b/>
                <w:szCs w:val="22"/>
              </w:rPr>
              <w:t xml:space="preserve">Phase 4 </w:t>
            </w:r>
          </w:p>
          <w:p w14:paraId="673B9007" w14:textId="77777777" w:rsidR="009C7BF3" w:rsidRDefault="00A04E48" w:rsidP="00683974">
            <w:pPr>
              <w:tabs>
                <w:tab w:val="center" w:pos="4680"/>
                <w:tab w:val="right" w:pos="9360"/>
              </w:tabs>
              <w:rPr>
                <w:rFonts w:cs="Arial"/>
                <w:color w:val="000000"/>
                <w:szCs w:val="22"/>
              </w:rPr>
            </w:pPr>
            <w:r w:rsidRPr="00AF1CC2">
              <w:rPr>
                <w:rFonts w:cs="Arial"/>
                <w:color w:val="000000"/>
                <w:szCs w:val="22"/>
              </w:rPr>
              <w:t>All studies performed after the drug has been approved by the regul</w:t>
            </w:r>
            <w:r w:rsidR="00990AD8">
              <w:rPr>
                <w:rFonts w:cs="Arial"/>
                <w:color w:val="000000"/>
                <w:szCs w:val="22"/>
              </w:rPr>
              <w:t xml:space="preserve">ator for the market, and used according to </w:t>
            </w:r>
            <w:r w:rsidR="007071DB">
              <w:rPr>
                <w:rFonts w:cs="Arial"/>
                <w:color w:val="000000"/>
                <w:szCs w:val="22"/>
              </w:rPr>
              <w:t>its marketing approval.</w:t>
            </w:r>
            <w:r w:rsidRPr="00AF1CC2">
              <w:rPr>
                <w:rFonts w:cs="Arial"/>
                <w:color w:val="000000"/>
                <w:szCs w:val="22"/>
              </w:rPr>
              <w:t xml:space="preserve"> These studies are often important for optimizing the drug's use. They may be of any type but must have valid scientific objectives. Commonly conducted studies include safety studies and studies designed to support use under the approved indication such as mortality and morbidity studies, or epidemiological studies.</w:t>
            </w:r>
          </w:p>
          <w:p w14:paraId="73113EB2" w14:textId="77777777" w:rsidR="00414BF0" w:rsidRPr="00AF1CC2" w:rsidRDefault="00414BF0" w:rsidP="00683974">
            <w:pPr>
              <w:tabs>
                <w:tab w:val="center" w:pos="4680"/>
                <w:tab w:val="right" w:pos="9360"/>
              </w:tabs>
              <w:rPr>
                <w:rFonts w:cs="Arial"/>
              </w:rPr>
            </w:pPr>
          </w:p>
        </w:tc>
        <w:tc>
          <w:tcPr>
            <w:tcW w:w="1842" w:type="pct"/>
            <w:vMerge w:val="restart"/>
            <w:vAlign w:val="center"/>
          </w:tcPr>
          <w:p w14:paraId="5D447894" w14:textId="7F355171" w:rsidR="009C7BF3" w:rsidRPr="00AF1CC2" w:rsidRDefault="009C7BF3" w:rsidP="00683974">
            <w:pPr>
              <w:jc w:val="center"/>
              <w:rPr>
                <w:b/>
              </w:rPr>
            </w:pPr>
            <w:r w:rsidRPr="00AF1CC2">
              <w:rPr>
                <w:b/>
                <w:szCs w:val="22"/>
              </w:rPr>
              <w:t xml:space="preserve">Level </w:t>
            </w:r>
            <w:r w:rsidR="007A277C">
              <w:rPr>
                <w:b/>
                <w:szCs w:val="22"/>
              </w:rPr>
              <w:t>3</w:t>
            </w:r>
          </w:p>
        </w:tc>
      </w:tr>
      <w:tr w:rsidR="009C7BF3" w:rsidRPr="00AF1CC2" w14:paraId="43704F04" w14:textId="77777777" w:rsidTr="00683974">
        <w:trPr>
          <w:trHeight w:val="2016"/>
        </w:trPr>
        <w:tc>
          <w:tcPr>
            <w:tcW w:w="3158" w:type="pct"/>
            <w:vAlign w:val="center"/>
          </w:tcPr>
          <w:p w14:paraId="796FCCE8" w14:textId="77777777" w:rsidR="009C7BF3" w:rsidRPr="006E4E5B" w:rsidRDefault="00E86D09" w:rsidP="00683974">
            <w:pPr>
              <w:tabs>
                <w:tab w:val="center" w:pos="4680"/>
                <w:tab w:val="right" w:pos="9360"/>
              </w:tabs>
              <w:rPr>
                <w:b/>
                <w:szCs w:val="22"/>
              </w:rPr>
            </w:pPr>
            <w:r w:rsidRPr="006E4E5B">
              <w:rPr>
                <w:b/>
                <w:szCs w:val="22"/>
              </w:rPr>
              <w:t xml:space="preserve">Non-regulated Interventional </w:t>
            </w:r>
          </w:p>
          <w:p w14:paraId="5114EAD3" w14:textId="77777777" w:rsidR="009C7BF3" w:rsidRPr="006E4E5B" w:rsidRDefault="00E86D09" w:rsidP="00683974">
            <w:pPr>
              <w:tabs>
                <w:tab w:val="center" w:pos="4680"/>
                <w:tab w:val="right" w:pos="9360"/>
              </w:tabs>
              <w:autoSpaceDE w:val="0"/>
              <w:autoSpaceDN w:val="0"/>
              <w:adjustRightInd w:val="0"/>
              <w:rPr>
                <w:rFonts w:eastAsia="Calibri" w:cs="Arial"/>
                <w:szCs w:val="22"/>
                <w:lang w:val="en-US"/>
              </w:rPr>
            </w:pPr>
            <w:r w:rsidRPr="006E4E5B">
              <w:rPr>
                <w:rFonts w:eastAsia="Calibri" w:cs="Arial"/>
                <w:szCs w:val="22"/>
                <w:lang w:val="en-US"/>
              </w:rPr>
              <w:t>Examples of non-regulated interventional studies include social/behavioural studies</w:t>
            </w:r>
            <w:r w:rsidR="003173DC" w:rsidRPr="006E4E5B">
              <w:rPr>
                <w:rFonts w:eastAsia="Calibri" w:cs="Arial"/>
                <w:szCs w:val="22"/>
                <w:lang w:val="en-US"/>
              </w:rPr>
              <w:t xml:space="preserve"> (studies involving interventions to modify behavior)</w:t>
            </w:r>
            <w:r w:rsidRPr="006E4E5B">
              <w:rPr>
                <w:rFonts w:eastAsia="Calibri" w:cs="Arial"/>
                <w:szCs w:val="22"/>
                <w:lang w:val="en-US"/>
              </w:rPr>
              <w:t xml:space="preserve">, </w:t>
            </w:r>
            <w:r w:rsidR="003173DC" w:rsidRPr="006E4E5B">
              <w:rPr>
                <w:rFonts w:eastAsia="Calibri" w:cs="Arial"/>
                <w:szCs w:val="22"/>
                <w:lang w:val="en-US"/>
              </w:rPr>
              <w:t>studies using a Health Canada approved medical device in a randomized study, and studies comparing two standard of care treatments</w:t>
            </w:r>
            <w:r w:rsidR="00A445B5" w:rsidRPr="006E4E5B">
              <w:rPr>
                <w:rFonts w:eastAsia="Calibri" w:cs="Arial"/>
                <w:szCs w:val="22"/>
                <w:lang w:val="en-US"/>
              </w:rPr>
              <w:t xml:space="preserve"> or procedures</w:t>
            </w:r>
            <w:r w:rsidR="003173DC" w:rsidRPr="006E4E5B">
              <w:rPr>
                <w:rFonts w:eastAsia="Calibri" w:cs="Arial"/>
                <w:szCs w:val="22"/>
                <w:lang w:val="en-US"/>
              </w:rPr>
              <w:t xml:space="preserve"> against one another. </w:t>
            </w:r>
          </w:p>
        </w:tc>
        <w:tc>
          <w:tcPr>
            <w:tcW w:w="1842" w:type="pct"/>
            <w:vMerge/>
            <w:tcBorders>
              <w:bottom w:val="single" w:sz="18" w:space="0" w:color="auto"/>
            </w:tcBorders>
          </w:tcPr>
          <w:p w14:paraId="2A8174F3" w14:textId="77777777" w:rsidR="009C7BF3" w:rsidRPr="00AF1CC2" w:rsidRDefault="009C7BF3" w:rsidP="00683974">
            <w:pPr>
              <w:jc w:val="center"/>
              <w:rPr>
                <w:b/>
              </w:rPr>
            </w:pPr>
          </w:p>
        </w:tc>
      </w:tr>
    </w:tbl>
    <w:p w14:paraId="469423E5" w14:textId="77777777" w:rsidR="006E4E5B" w:rsidRDefault="006E4E5B" w:rsidP="00C128EC"/>
    <w:p w14:paraId="3C31E10F" w14:textId="77777777" w:rsidR="006E4E5B" w:rsidRDefault="006E4E5B"/>
    <w:p w14:paraId="4AF89202" w14:textId="77777777" w:rsidR="00F00FF5" w:rsidRDefault="00F00FF5"/>
    <w:p w14:paraId="3D06263A" w14:textId="77777777" w:rsidR="00F00FF5" w:rsidRDefault="00F00FF5"/>
    <w:p w14:paraId="2FF54E32" w14:textId="77777777" w:rsidR="00F00FF5" w:rsidRDefault="00F00FF5"/>
    <w:tbl>
      <w:tblPr>
        <w:tblpPr w:leftFromText="180" w:rightFromText="180" w:vertAnchor="text" w:horzAnchor="margin" w:tblpY="10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963FB1" w:rsidRPr="00AF1CC2" w14:paraId="1F438C94" w14:textId="77777777" w:rsidTr="00683974">
        <w:tc>
          <w:tcPr>
            <w:tcW w:w="5000" w:type="pct"/>
            <w:shd w:val="pct12" w:color="auto" w:fill="auto"/>
            <w:vAlign w:val="center"/>
          </w:tcPr>
          <w:p w14:paraId="6093C042" w14:textId="77777777" w:rsidR="00963FB1" w:rsidRPr="00AF1CC2" w:rsidRDefault="00963FB1" w:rsidP="00683974">
            <w:pPr>
              <w:rPr>
                <w:b/>
              </w:rPr>
            </w:pPr>
            <w:r w:rsidRPr="00AF1CC2">
              <w:rPr>
                <w:b/>
                <w:szCs w:val="22"/>
              </w:rPr>
              <w:t>Level 1</w:t>
            </w:r>
          </w:p>
        </w:tc>
      </w:tr>
      <w:tr w:rsidR="00963FB1" w:rsidRPr="00AF1CC2" w14:paraId="7F9DC21D" w14:textId="77777777" w:rsidTr="00683974">
        <w:trPr>
          <w:trHeight w:val="4464"/>
        </w:trPr>
        <w:tc>
          <w:tcPr>
            <w:tcW w:w="5000" w:type="pct"/>
            <w:vAlign w:val="center"/>
          </w:tcPr>
          <w:p w14:paraId="7D74D31E" w14:textId="6F3F4083" w:rsidR="00963FB1" w:rsidRPr="00AF1CC2" w:rsidRDefault="00963FB1" w:rsidP="00683974">
            <w:pPr>
              <w:rPr>
                <w:b/>
              </w:rPr>
            </w:pPr>
            <w:r w:rsidRPr="00AF1CC2">
              <w:rPr>
                <w:b/>
                <w:szCs w:val="22"/>
              </w:rPr>
              <w:t>On-site</w:t>
            </w:r>
            <w:r w:rsidR="0082740C">
              <w:rPr>
                <w:b/>
                <w:szCs w:val="22"/>
              </w:rPr>
              <w:t xml:space="preserve"> or remote</w:t>
            </w:r>
            <w:r w:rsidRPr="00AF1CC2">
              <w:rPr>
                <w:b/>
                <w:szCs w:val="22"/>
              </w:rPr>
              <w:t xml:space="preserve"> monitoring</w:t>
            </w:r>
          </w:p>
          <w:p w14:paraId="05D41F70" w14:textId="64FF215B" w:rsidR="000262E2" w:rsidRDefault="0082740C" w:rsidP="00683974">
            <w:pPr>
              <w:rPr>
                <w:szCs w:val="22"/>
              </w:rPr>
            </w:pPr>
            <w:r>
              <w:rPr>
                <w:szCs w:val="22"/>
              </w:rPr>
              <w:t>Source Data Verification (</w:t>
            </w:r>
            <w:r w:rsidR="00963FB1" w:rsidRPr="00AF1CC2">
              <w:rPr>
                <w:szCs w:val="22"/>
              </w:rPr>
              <w:t>SDV</w:t>
            </w:r>
            <w:r>
              <w:rPr>
                <w:szCs w:val="22"/>
              </w:rPr>
              <w:t>)</w:t>
            </w:r>
            <w:r w:rsidR="00963FB1" w:rsidRPr="00AF1CC2">
              <w:rPr>
                <w:szCs w:val="22"/>
              </w:rPr>
              <w:t xml:space="preserve"> of the following</w:t>
            </w:r>
            <w:r w:rsidR="00DB1466" w:rsidRPr="00AF1CC2">
              <w:rPr>
                <w:szCs w:val="22"/>
              </w:rPr>
              <w:t xml:space="preserve"> critical data points for </w:t>
            </w:r>
            <w:r w:rsidR="00DB1466" w:rsidRPr="0057538C">
              <w:rPr>
                <w:szCs w:val="22"/>
                <w:u w:val="single"/>
              </w:rPr>
              <w:t>all</w:t>
            </w:r>
            <w:r w:rsidR="00DB1466" w:rsidRPr="00AF1CC2">
              <w:rPr>
                <w:szCs w:val="22"/>
              </w:rPr>
              <w:t xml:space="preserve"> participants</w:t>
            </w:r>
            <w:r w:rsidR="00963FB1" w:rsidRPr="00AF1CC2">
              <w:rPr>
                <w:szCs w:val="22"/>
              </w:rPr>
              <w:t xml:space="preserve">: </w:t>
            </w:r>
          </w:p>
          <w:p w14:paraId="35C6B0C7" w14:textId="77777777" w:rsidR="000262E2" w:rsidRDefault="00782CCF" w:rsidP="00683974">
            <w:pPr>
              <w:numPr>
                <w:ilvl w:val="0"/>
                <w:numId w:val="2"/>
              </w:numPr>
              <w:rPr>
                <w:szCs w:val="22"/>
              </w:rPr>
            </w:pPr>
            <w:r>
              <w:rPr>
                <w:szCs w:val="22"/>
              </w:rPr>
              <w:t>In</w:t>
            </w:r>
            <w:r w:rsidR="00963FB1" w:rsidRPr="00AF1CC2">
              <w:rPr>
                <w:szCs w:val="22"/>
              </w:rPr>
              <w:t xml:space="preserve">formed consent process </w:t>
            </w:r>
          </w:p>
          <w:p w14:paraId="227898C3" w14:textId="77777777" w:rsidR="000262E2" w:rsidRDefault="00782CCF" w:rsidP="00683974">
            <w:pPr>
              <w:numPr>
                <w:ilvl w:val="0"/>
                <w:numId w:val="2"/>
              </w:numPr>
              <w:rPr>
                <w:szCs w:val="22"/>
              </w:rPr>
            </w:pPr>
            <w:r>
              <w:rPr>
                <w:szCs w:val="22"/>
              </w:rPr>
              <w:t>Eligibility criteria</w:t>
            </w:r>
            <w:r w:rsidR="00963FB1" w:rsidRPr="00AF1CC2">
              <w:rPr>
                <w:szCs w:val="22"/>
              </w:rPr>
              <w:t xml:space="preserve"> </w:t>
            </w:r>
          </w:p>
          <w:p w14:paraId="07893BD9" w14:textId="56EEE6D0" w:rsidR="000262E2" w:rsidRDefault="00782CCF" w:rsidP="00683974">
            <w:pPr>
              <w:numPr>
                <w:ilvl w:val="0"/>
                <w:numId w:val="2"/>
              </w:numPr>
              <w:rPr>
                <w:szCs w:val="22"/>
              </w:rPr>
            </w:pPr>
            <w:r>
              <w:rPr>
                <w:szCs w:val="22"/>
              </w:rPr>
              <w:t>SAEs</w:t>
            </w:r>
            <w:r w:rsidR="00963FB1" w:rsidRPr="00AF1CC2">
              <w:rPr>
                <w:szCs w:val="22"/>
              </w:rPr>
              <w:t xml:space="preserve"> </w:t>
            </w:r>
          </w:p>
          <w:p w14:paraId="36C9A07D" w14:textId="77777777" w:rsidR="000262E2" w:rsidRDefault="00782CCF" w:rsidP="00683974">
            <w:pPr>
              <w:numPr>
                <w:ilvl w:val="0"/>
                <w:numId w:val="2"/>
              </w:numPr>
              <w:rPr>
                <w:szCs w:val="22"/>
              </w:rPr>
            </w:pPr>
            <w:r>
              <w:rPr>
                <w:szCs w:val="22"/>
              </w:rPr>
              <w:t>Primary endpoints</w:t>
            </w:r>
            <w:r w:rsidR="00963FB1" w:rsidRPr="00AF1CC2">
              <w:rPr>
                <w:szCs w:val="22"/>
              </w:rPr>
              <w:t xml:space="preserve"> </w:t>
            </w:r>
          </w:p>
          <w:p w14:paraId="701EBF23" w14:textId="77777777" w:rsidR="000262E2" w:rsidRDefault="00782CCF" w:rsidP="00683974">
            <w:pPr>
              <w:numPr>
                <w:ilvl w:val="0"/>
                <w:numId w:val="2"/>
              </w:numPr>
              <w:rPr>
                <w:szCs w:val="22"/>
              </w:rPr>
            </w:pPr>
            <w:r>
              <w:rPr>
                <w:szCs w:val="22"/>
              </w:rPr>
              <w:t>S</w:t>
            </w:r>
            <w:r w:rsidR="00963FB1" w:rsidRPr="00AF1CC2">
              <w:rPr>
                <w:szCs w:val="22"/>
              </w:rPr>
              <w:t>econ</w:t>
            </w:r>
            <w:r>
              <w:rPr>
                <w:szCs w:val="22"/>
              </w:rPr>
              <w:t>dary endpoints (as appropriate)</w:t>
            </w:r>
            <w:r w:rsidR="00963FB1" w:rsidRPr="00AF1CC2">
              <w:rPr>
                <w:szCs w:val="22"/>
              </w:rPr>
              <w:t xml:space="preserve"> </w:t>
            </w:r>
          </w:p>
          <w:p w14:paraId="669798D9" w14:textId="77777777" w:rsidR="000262E2" w:rsidRDefault="00782CCF" w:rsidP="00683974">
            <w:pPr>
              <w:numPr>
                <w:ilvl w:val="0"/>
                <w:numId w:val="2"/>
              </w:numPr>
              <w:rPr>
                <w:szCs w:val="22"/>
              </w:rPr>
            </w:pPr>
            <w:r>
              <w:rPr>
                <w:szCs w:val="22"/>
              </w:rPr>
              <w:t>I</w:t>
            </w:r>
            <w:r w:rsidR="00963FB1" w:rsidRPr="00AF1CC2">
              <w:rPr>
                <w:szCs w:val="22"/>
              </w:rPr>
              <w:t xml:space="preserve">nvestigational Product (IP) accountability </w:t>
            </w:r>
          </w:p>
          <w:p w14:paraId="60CFB5D7" w14:textId="77777777" w:rsidR="00963FB1" w:rsidRPr="00AF1CC2" w:rsidRDefault="00782CCF" w:rsidP="00683974">
            <w:pPr>
              <w:numPr>
                <w:ilvl w:val="0"/>
                <w:numId w:val="2"/>
              </w:numPr>
            </w:pPr>
            <w:r>
              <w:rPr>
                <w:szCs w:val="22"/>
              </w:rPr>
              <w:t>D</w:t>
            </w:r>
            <w:r w:rsidR="00963FB1" w:rsidRPr="000262E2">
              <w:rPr>
                <w:szCs w:val="22"/>
              </w:rPr>
              <w:t>elegation log and protocol adherence</w:t>
            </w:r>
          </w:p>
          <w:p w14:paraId="1B7FE05C" w14:textId="77777777" w:rsidR="00826291" w:rsidRPr="00C5209F" w:rsidRDefault="00826291" w:rsidP="00683974">
            <w:pPr>
              <w:rPr>
                <w:sz w:val="16"/>
                <w:szCs w:val="22"/>
              </w:rPr>
            </w:pPr>
          </w:p>
          <w:p w14:paraId="03B7E150" w14:textId="3FAFF830" w:rsidR="0044696D" w:rsidRDefault="00F00FF5" w:rsidP="00683974">
            <w:pPr>
              <w:rPr>
                <w:b/>
                <w:szCs w:val="22"/>
              </w:rPr>
            </w:pPr>
            <w:r>
              <w:rPr>
                <w:szCs w:val="22"/>
              </w:rPr>
              <w:t xml:space="preserve">A percentage of </w:t>
            </w:r>
            <w:r w:rsidR="00826291" w:rsidRPr="00826291">
              <w:rPr>
                <w:szCs w:val="22"/>
              </w:rPr>
              <w:t>case report form (CRF) SDV</w:t>
            </w:r>
            <w:r w:rsidR="0044696D">
              <w:rPr>
                <w:szCs w:val="22"/>
              </w:rPr>
              <w:t xml:space="preserve"> should be performed</w:t>
            </w:r>
            <w:r w:rsidR="00826291" w:rsidRPr="00826291">
              <w:rPr>
                <w:szCs w:val="22"/>
              </w:rPr>
              <w:t xml:space="preserve"> for </w:t>
            </w:r>
            <w:r w:rsidR="00F154F4">
              <w:rPr>
                <w:szCs w:val="22"/>
              </w:rPr>
              <w:t xml:space="preserve">a percentage (e.g. 10%) </w:t>
            </w:r>
            <w:r w:rsidR="00826291" w:rsidRPr="00826291">
              <w:rPr>
                <w:szCs w:val="22"/>
              </w:rPr>
              <w:t xml:space="preserve">of enrolled participants.  </w:t>
            </w:r>
            <w:r>
              <w:rPr>
                <w:szCs w:val="22"/>
              </w:rPr>
              <w:t>A justification of the percentage of CRFs and percentage of patients monitored should be documented prior to the finalization of the monitoring plan.</w:t>
            </w:r>
          </w:p>
          <w:p w14:paraId="2B457B52" w14:textId="64D824B9" w:rsidR="00963FB1" w:rsidRPr="00AF1CC2" w:rsidRDefault="00CF25C3" w:rsidP="00683974">
            <w:r>
              <w:rPr>
                <w:szCs w:val="22"/>
              </w:rPr>
              <w:t>R</w:t>
            </w:r>
            <w:r w:rsidR="00963FB1" w:rsidRPr="00AF1CC2">
              <w:rPr>
                <w:szCs w:val="22"/>
              </w:rPr>
              <w:t xml:space="preserve">eview of training documentation, study </w:t>
            </w:r>
            <w:r w:rsidR="00771248" w:rsidRPr="00AF1CC2">
              <w:rPr>
                <w:szCs w:val="22"/>
              </w:rPr>
              <w:t>regulatory file and essential documents</w:t>
            </w:r>
            <w:r w:rsidR="005954EE">
              <w:rPr>
                <w:szCs w:val="22"/>
              </w:rPr>
              <w:t>.</w:t>
            </w:r>
          </w:p>
          <w:p w14:paraId="2398BF4C" w14:textId="77777777" w:rsidR="000262E2" w:rsidRPr="00C5209F" w:rsidRDefault="000262E2" w:rsidP="00683974">
            <w:pPr>
              <w:rPr>
                <w:b/>
                <w:sz w:val="12"/>
                <w:szCs w:val="22"/>
              </w:rPr>
            </w:pPr>
          </w:p>
          <w:p w14:paraId="35EF9D87" w14:textId="77777777" w:rsidR="00963FB1" w:rsidRPr="00AF1CC2" w:rsidRDefault="00963FB1" w:rsidP="00683974">
            <w:pPr>
              <w:rPr>
                <w:b/>
              </w:rPr>
            </w:pPr>
            <w:r w:rsidRPr="00AF1CC2">
              <w:rPr>
                <w:b/>
                <w:szCs w:val="22"/>
              </w:rPr>
              <w:t>Frequency of visits</w:t>
            </w:r>
          </w:p>
          <w:p w14:paraId="1FE3C232" w14:textId="6FCCFC6D" w:rsidR="006E4E5B" w:rsidRPr="00C5209F" w:rsidRDefault="00963FB1" w:rsidP="00683974">
            <w:pPr>
              <w:rPr>
                <w:szCs w:val="22"/>
                <w:u w:val="single"/>
              </w:rPr>
            </w:pPr>
            <w:r w:rsidRPr="00AF1CC2">
              <w:rPr>
                <w:szCs w:val="22"/>
              </w:rPr>
              <w:t>Timing of visits must be customized based on study design and recruitment strategy</w:t>
            </w:r>
            <w:r w:rsidR="00F00FF5">
              <w:rPr>
                <w:szCs w:val="22"/>
              </w:rPr>
              <w:t xml:space="preserve"> and should be justified in writing in the monitoring plan.</w:t>
            </w:r>
          </w:p>
        </w:tc>
      </w:tr>
      <w:tr w:rsidR="00963FB1" w:rsidRPr="00AF1CC2" w14:paraId="6E387BFC" w14:textId="77777777" w:rsidTr="00683974">
        <w:tc>
          <w:tcPr>
            <w:tcW w:w="5000" w:type="pct"/>
            <w:shd w:val="pct12" w:color="auto" w:fill="auto"/>
            <w:vAlign w:val="center"/>
          </w:tcPr>
          <w:p w14:paraId="622CDD73" w14:textId="77777777" w:rsidR="00963FB1" w:rsidRPr="00AF1CC2" w:rsidRDefault="00963FB1" w:rsidP="00683974">
            <w:pPr>
              <w:rPr>
                <w:b/>
              </w:rPr>
            </w:pPr>
            <w:r w:rsidRPr="00AF1CC2">
              <w:rPr>
                <w:b/>
                <w:szCs w:val="22"/>
              </w:rPr>
              <w:t>Level 2</w:t>
            </w:r>
          </w:p>
        </w:tc>
      </w:tr>
      <w:tr w:rsidR="00963FB1" w:rsidRPr="00AF1CC2" w14:paraId="608828A6" w14:textId="77777777" w:rsidTr="00683974">
        <w:trPr>
          <w:trHeight w:val="7488"/>
        </w:trPr>
        <w:tc>
          <w:tcPr>
            <w:tcW w:w="5000" w:type="pct"/>
          </w:tcPr>
          <w:p w14:paraId="07F97261" w14:textId="63AD3C88" w:rsidR="00963FB1" w:rsidRPr="00AF1CC2" w:rsidRDefault="00963FB1" w:rsidP="00683974">
            <w:pPr>
              <w:rPr>
                <w:b/>
              </w:rPr>
            </w:pPr>
            <w:r w:rsidRPr="00AF1CC2">
              <w:rPr>
                <w:b/>
                <w:szCs w:val="22"/>
              </w:rPr>
              <w:t xml:space="preserve">On-site </w:t>
            </w:r>
            <w:r w:rsidR="005954EE">
              <w:rPr>
                <w:b/>
                <w:szCs w:val="22"/>
              </w:rPr>
              <w:t xml:space="preserve">and remote </w:t>
            </w:r>
            <w:r w:rsidRPr="00AF1CC2">
              <w:rPr>
                <w:b/>
                <w:szCs w:val="22"/>
              </w:rPr>
              <w:t>monitoring</w:t>
            </w:r>
          </w:p>
          <w:p w14:paraId="07A5A239" w14:textId="21974396" w:rsidR="000262E2" w:rsidRDefault="00ED7FF6" w:rsidP="00683974">
            <w:pPr>
              <w:rPr>
                <w:szCs w:val="22"/>
              </w:rPr>
            </w:pPr>
            <w:r w:rsidRPr="00AF1CC2">
              <w:rPr>
                <w:szCs w:val="22"/>
              </w:rPr>
              <w:t>SDV of the following critical data points for a subset of participants:</w:t>
            </w:r>
            <w:r w:rsidR="00963FB1" w:rsidRPr="00AF1CC2">
              <w:rPr>
                <w:szCs w:val="22"/>
              </w:rPr>
              <w:t xml:space="preserve"> </w:t>
            </w:r>
          </w:p>
          <w:p w14:paraId="784D13E9" w14:textId="699D3A73" w:rsidR="00705AB7" w:rsidRPr="00683974" w:rsidRDefault="00F00FF5" w:rsidP="00683974">
            <w:pPr>
              <w:numPr>
                <w:ilvl w:val="0"/>
                <w:numId w:val="3"/>
              </w:numPr>
              <w:rPr>
                <w:b/>
                <w:bCs/>
                <w:szCs w:val="26"/>
              </w:rPr>
            </w:pPr>
            <w:r>
              <w:rPr>
                <w:szCs w:val="22"/>
              </w:rPr>
              <w:t xml:space="preserve">Informed </w:t>
            </w:r>
            <w:r w:rsidR="00E611EF">
              <w:rPr>
                <w:szCs w:val="22"/>
              </w:rPr>
              <w:t>C</w:t>
            </w:r>
            <w:r w:rsidR="00963FB1" w:rsidRPr="00AF1CC2">
              <w:rPr>
                <w:szCs w:val="22"/>
              </w:rPr>
              <w:t>onsent process</w:t>
            </w:r>
          </w:p>
          <w:p w14:paraId="4001BC1E" w14:textId="77777777" w:rsidR="00705AB7" w:rsidRPr="00683974" w:rsidRDefault="00E611EF" w:rsidP="00683974">
            <w:pPr>
              <w:numPr>
                <w:ilvl w:val="0"/>
                <w:numId w:val="3"/>
              </w:numPr>
              <w:rPr>
                <w:b/>
                <w:bCs/>
                <w:szCs w:val="26"/>
              </w:rPr>
            </w:pPr>
            <w:r>
              <w:rPr>
                <w:szCs w:val="22"/>
              </w:rPr>
              <w:t>E</w:t>
            </w:r>
            <w:r w:rsidR="00963FB1" w:rsidRPr="00AF1CC2">
              <w:rPr>
                <w:szCs w:val="22"/>
              </w:rPr>
              <w:t>ligibility criteria</w:t>
            </w:r>
          </w:p>
          <w:p w14:paraId="1D9AA916" w14:textId="77777777" w:rsidR="00705AB7" w:rsidRDefault="00963FB1" w:rsidP="00683974">
            <w:pPr>
              <w:numPr>
                <w:ilvl w:val="0"/>
                <w:numId w:val="3"/>
              </w:numPr>
            </w:pPr>
            <w:r w:rsidRPr="00AF1CC2">
              <w:rPr>
                <w:szCs w:val="22"/>
              </w:rPr>
              <w:t>SAEs</w:t>
            </w:r>
          </w:p>
          <w:p w14:paraId="515570D5" w14:textId="77777777" w:rsidR="00705AB7" w:rsidRDefault="00E611EF" w:rsidP="00683974">
            <w:pPr>
              <w:numPr>
                <w:ilvl w:val="0"/>
                <w:numId w:val="3"/>
              </w:numPr>
            </w:pPr>
            <w:r>
              <w:rPr>
                <w:szCs w:val="22"/>
              </w:rPr>
              <w:t>P</w:t>
            </w:r>
            <w:r w:rsidR="00963FB1" w:rsidRPr="00AF1CC2">
              <w:rPr>
                <w:szCs w:val="22"/>
              </w:rPr>
              <w:t>rimary endpoints</w:t>
            </w:r>
          </w:p>
          <w:p w14:paraId="55D66BED" w14:textId="77777777" w:rsidR="00705AB7" w:rsidRDefault="00E611EF" w:rsidP="00683974">
            <w:pPr>
              <w:numPr>
                <w:ilvl w:val="0"/>
                <w:numId w:val="3"/>
              </w:numPr>
            </w:pPr>
            <w:r>
              <w:rPr>
                <w:szCs w:val="22"/>
              </w:rPr>
              <w:t>S</w:t>
            </w:r>
            <w:r w:rsidR="00963FB1" w:rsidRPr="00AF1CC2">
              <w:rPr>
                <w:szCs w:val="22"/>
              </w:rPr>
              <w:t>econ</w:t>
            </w:r>
            <w:r>
              <w:rPr>
                <w:szCs w:val="22"/>
              </w:rPr>
              <w:t>dary endpoints (as appropriate)</w:t>
            </w:r>
          </w:p>
          <w:p w14:paraId="1DF7470E" w14:textId="25FCE7F2" w:rsidR="00705AB7" w:rsidRDefault="00963FB1" w:rsidP="00683974">
            <w:pPr>
              <w:numPr>
                <w:ilvl w:val="0"/>
                <w:numId w:val="3"/>
              </w:numPr>
            </w:pPr>
            <w:r w:rsidRPr="00AF1CC2">
              <w:rPr>
                <w:szCs w:val="22"/>
              </w:rPr>
              <w:t>CRF SDV*</w:t>
            </w:r>
            <w:r w:rsidR="00ED7FF6" w:rsidRPr="00AF1CC2">
              <w:rPr>
                <w:szCs w:val="22"/>
              </w:rPr>
              <w:t xml:space="preserve">.  If errors are found greater than </w:t>
            </w:r>
            <w:r w:rsidR="00381914" w:rsidRPr="00AF1CC2">
              <w:rPr>
                <w:szCs w:val="22"/>
              </w:rPr>
              <w:t xml:space="preserve">the </w:t>
            </w:r>
            <w:r w:rsidR="00ED7FF6" w:rsidRPr="00AF1CC2">
              <w:rPr>
                <w:szCs w:val="22"/>
              </w:rPr>
              <w:t>predefined</w:t>
            </w:r>
            <w:r w:rsidR="00381914" w:rsidRPr="00AF1CC2">
              <w:rPr>
                <w:szCs w:val="22"/>
              </w:rPr>
              <w:t xml:space="preserve"> error-rate</w:t>
            </w:r>
            <w:r w:rsidR="00ED7FF6" w:rsidRPr="00AF1CC2">
              <w:rPr>
                <w:szCs w:val="22"/>
              </w:rPr>
              <w:t xml:space="preserve"> (protocol-specific and determined in advance</w:t>
            </w:r>
            <w:r w:rsidR="00CA54C4">
              <w:rPr>
                <w:szCs w:val="22"/>
              </w:rPr>
              <w:t xml:space="preserve"> -</w:t>
            </w:r>
            <w:r w:rsidR="00ED7FF6" w:rsidRPr="00AF1CC2">
              <w:rPr>
                <w:szCs w:val="22"/>
              </w:rPr>
              <w:t xml:space="preserve"> e.g.</w:t>
            </w:r>
            <w:r w:rsidR="00C5209F">
              <w:rPr>
                <w:szCs w:val="22"/>
              </w:rPr>
              <w:t>,</w:t>
            </w:r>
            <w:r w:rsidR="00ED7FF6" w:rsidRPr="00AF1CC2">
              <w:rPr>
                <w:szCs w:val="22"/>
              </w:rPr>
              <w:t xml:space="preserve"> </w:t>
            </w:r>
            <w:r w:rsidR="00F61122">
              <w:rPr>
                <w:szCs w:val="22"/>
              </w:rPr>
              <w:t xml:space="preserve">significant </w:t>
            </w:r>
            <w:r w:rsidR="00ED7FF6" w:rsidRPr="00AF1CC2">
              <w:rPr>
                <w:szCs w:val="22"/>
              </w:rPr>
              <w:t>errors &gt; 1 in 10 participant charts) then additional SDV</w:t>
            </w:r>
            <w:r w:rsidR="00381914" w:rsidRPr="00AF1CC2">
              <w:rPr>
                <w:szCs w:val="22"/>
              </w:rPr>
              <w:t xml:space="preserve"> (add-on monitoring)</w:t>
            </w:r>
            <w:r w:rsidR="00ED7FF6" w:rsidRPr="00AF1CC2">
              <w:rPr>
                <w:szCs w:val="22"/>
              </w:rPr>
              <w:t xml:space="preserve"> should be performed as required.  Resources should be dedicated to areas that may be more relevant to patient safety and data integrity based on the requirements of the protocol.</w:t>
            </w:r>
          </w:p>
          <w:p w14:paraId="326DA367" w14:textId="77777777" w:rsidR="00705AB7" w:rsidRDefault="00963FB1" w:rsidP="00683974">
            <w:pPr>
              <w:numPr>
                <w:ilvl w:val="0"/>
                <w:numId w:val="3"/>
              </w:numPr>
            </w:pPr>
            <w:r w:rsidRPr="004D1BE6">
              <w:rPr>
                <w:szCs w:val="22"/>
              </w:rPr>
              <w:t>Delegation log, IP accountability and protocol adherence must also be verified.</w:t>
            </w:r>
          </w:p>
          <w:p w14:paraId="25833174" w14:textId="77777777" w:rsidR="004515CF" w:rsidRDefault="001D1BDE" w:rsidP="00683974">
            <w:pPr>
              <w:rPr>
                <w:szCs w:val="22"/>
              </w:rPr>
            </w:pPr>
            <w:r w:rsidRPr="00AF1CC2">
              <w:rPr>
                <w:szCs w:val="22"/>
              </w:rPr>
              <w:t xml:space="preserve">Review of training documentation, study regulatory file and essential documents can be performed remotely. </w:t>
            </w:r>
          </w:p>
          <w:p w14:paraId="350CE790" w14:textId="77777777" w:rsidR="006E4E5B" w:rsidRPr="00C5209F" w:rsidRDefault="006E4E5B" w:rsidP="00683974">
            <w:pPr>
              <w:rPr>
                <w:sz w:val="14"/>
                <w:szCs w:val="22"/>
              </w:rPr>
            </w:pPr>
          </w:p>
          <w:p w14:paraId="4B1C5089" w14:textId="2799FABD" w:rsidR="00963FB1" w:rsidRPr="004D1BE6" w:rsidRDefault="003440A3" w:rsidP="00683974">
            <w:pPr>
              <w:rPr>
                <w:i/>
              </w:rPr>
            </w:pPr>
            <w:r w:rsidRPr="006E4E5B">
              <w:rPr>
                <w:i/>
                <w:szCs w:val="22"/>
              </w:rPr>
              <w:t>*</w:t>
            </w:r>
            <w:r w:rsidR="00F61122" w:rsidRPr="006E4E5B">
              <w:rPr>
                <w:i/>
                <w:szCs w:val="22"/>
              </w:rPr>
              <w:t xml:space="preserve">Extent of CRF SDV is protocol-specific </w:t>
            </w:r>
            <w:r w:rsidR="005C60C9" w:rsidRPr="006E4E5B">
              <w:rPr>
                <w:i/>
                <w:szCs w:val="22"/>
              </w:rPr>
              <w:t xml:space="preserve">and is </w:t>
            </w:r>
            <w:r w:rsidR="00F61122" w:rsidRPr="006E4E5B">
              <w:rPr>
                <w:i/>
                <w:szCs w:val="22"/>
              </w:rPr>
              <w:t xml:space="preserve">based on the type of data to be collected and its potential impact on endpoint analysis.  </w:t>
            </w:r>
            <w:r w:rsidRPr="006E4E5B">
              <w:rPr>
                <w:i/>
                <w:szCs w:val="22"/>
              </w:rPr>
              <w:t>Patient data review can be performed remotely</w:t>
            </w:r>
            <w:r w:rsidR="005954EE">
              <w:rPr>
                <w:i/>
                <w:szCs w:val="22"/>
              </w:rPr>
              <w:t xml:space="preserve"> or on-site</w:t>
            </w:r>
            <w:r w:rsidR="00B9302A">
              <w:rPr>
                <w:i/>
                <w:szCs w:val="22"/>
              </w:rPr>
              <w:t xml:space="preserve">.  </w:t>
            </w:r>
            <w:r w:rsidRPr="006E4E5B">
              <w:rPr>
                <w:i/>
                <w:szCs w:val="22"/>
              </w:rPr>
              <w:t xml:space="preserve"> – </w:t>
            </w:r>
            <w:r w:rsidR="00B9302A">
              <w:rPr>
                <w:i/>
                <w:szCs w:val="22"/>
              </w:rPr>
              <w:t>D</w:t>
            </w:r>
            <w:r w:rsidRPr="006E4E5B">
              <w:rPr>
                <w:i/>
                <w:szCs w:val="22"/>
              </w:rPr>
              <w:t>e-identified source can be sent securely (e.g.</w:t>
            </w:r>
            <w:r w:rsidR="00C5209F">
              <w:rPr>
                <w:i/>
                <w:szCs w:val="22"/>
              </w:rPr>
              <w:t>,</w:t>
            </w:r>
            <w:r w:rsidRPr="006E4E5B">
              <w:rPr>
                <w:i/>
                <w:szCs w:val="22"/>
              </w:rPr>
              <w:t xml:space="preserve"> fax</w:t>
            </w:r>
            <w:r w:rsidR="00B9302A">
              <w:rPr>
                <w:i/>
                <w:szCs w:val="22"/>
              </w:rPr>
              <w:t xml:space="preserve"> or encrypted email</w:t>
            </w:r>
            <w:r w:rsidRPr="006E4E5B">
              <w:rPr>
                <w:i/>
                <w:szCs w:val="22"/>
              </w:rPr>
              <w:t>) and compared against an electronic CRF (eCRF</w:t>
            </w:r>
            <w:r w:rsidRPr="003440A3">
              <w:rPr>
                <w:i/>
                <w:szCs w:val="22"/>
              </w:rPr>
              <w:t>). Remote verification that a particular (critical) study-specific criterion was performed may also be done (e.g.</w:t>
            </w:r>
            <w:r w:rsidR="00C5209F">
              <w:rPr>
                <w:i/>
                <w:szCs w:val="22"/>
              </w:rPr>
              <w:t>,</w:t>
            </w:r>
            <w:r w:rsidRPr="003440A3">
              <w:rPr>
                <w:i/>
                <w:szCs w:val="22"/>
              </w:rPr>
              <w:t xml:space="preserve"> de-identified x-ray inclusion criterion can be verified remotely to ensure that the procedure was performed prior to randomization).  Consent forms are best</w:t>
            </w:r>
            <w:r w:rsidR="00F00FF5">
              <w:rPr>
                <w:i/>
                <w:szCs w:val="22"/>
              </w:rPr>
              <w:t xml:space="preserve"> </w:t>
            </w:r>
            <w:r w:rsidRPr="003440A3">
              <w:rPr>
                <w:i/>
                <w:szCs w:val="22"/>
              </w:rPr>
              <w:t>verified</w:t>
            </w:r>
            <w:r w:rsidR="00B9302A">
              <w:rPr>
                <w:i/>
                <w:szCs w:val="22"/>
              </w:rPr>
              <w:t xml:space="preserve"> </w:t>
            </w:r>
            <w:r w:rsidRPr="003440A3">
              <w:rPr>
                <w:i/>
                <w:szCs w:val="22"/>
              </w:rPr>
              <w:t>on-site</w:t>
            </w:r>
            <w:r w:rsidR="00B9302A">
              <w:rPr>
                <w:i/>
                <w:szCs w:val="22"/>
              </w:rPr>
              <w:t>, the de</w:t>
            </w:r>
            <w:r w:rsidR="00F00FF5">
              <w:rPr>
                <w:i/>
                <w:szCs w:val="22"/>
              </w:rPr>
              <w:t>-</w:t>
            </w:r>
            <w:r w:rsidR="00B9302A">
              <w:rPr>
                <w:i/>
                <w:szCs w:val="22"/>
              </w:rPr>
              <w:t>identified signature page of the consent form may serve as verification.</w:t>
            </w:r>
            <w:r w:rsidRPr="003440A3">
              <w:rPr>
                <w:i/>
                <w:szCs w:val="22"/>
              </w:rPr>
              <w:t xml:space="preserve"> </w:t>
            </w:r>
          </w:p>
          <w:p w14:paraId="184A6DB7" w14:textId="77777777" w:rsidR="000262E2" w:rsidRPr="00C5209F" w:rsidRDefault="000262E2" w:rsidP="00683974">
            <w:pPr>
              <w:rPr>
                <w:b/>
                <w:sz w:val="12"/>
                <w:szCs w:val="22"/>
              </w:rPr>
            </w:pPr>
          </w:p>
          <w:p w14:paraId="7A5FC611" w14:textId="77777777" w:rsidR="004D1BE6" w:rsidRPr="004D1BE6" w:rsidRDefault="00963FB1" w:rsidP="00683974">
            <w:pPr>
              <w:rPr>
                <w:b/>
                <w:szCs w:val="22"/>
              </w:rPr>
            </w:pPr>
            <w:r w:rsidRPr="00AF1CC2">
              <w:rPr>
                <w:b/>
                <w:szCs w:val="22"/>
              </w:rPr>
              <w:t>Frequency of visits</w:t>
            </w:r>
          </w:p>
          <w:p w14:paraId="133E852F" w14:textId="7C03D17C" w:rsidR="006E4E5B" w:rsidRPr="00AF1CC2" w:rsidRDefault="00963FB1" w:rsidP="00683974">
            <w:r w:rsidRPr="00AF1CC2">
              <w:rPr>
                <w:szCs w:val="22"/>
              </w:rPr>
              <w:t>Timing of visits must be customized based on study design and recruitment strategy</w:t>
            </w:r>
            <w:r w:rsidR="00F00FF5">
              <w:rPr>
                <w:szCs w:val="22"/>
              </w:rPr>
              <w:t xml:space="preserve"> and should be justified in writing in the monitoring plan</w:t>
            </w:r>
            <w:r w:rsidRPr="00AF1CC2">
              <w:rPr>
                <w:szCs w:val="22"/>
              </w:rPr>
              <w:t>.</w:t>
            </w:r>
            <w:r w:rsidR="00F00FF5">
              <w:rPr>
                <w:i/>
                <w:szCs w:val="22"/>
              </w:rPr>
              <w:t xml:space="preserve"> </w:t>
            </w:r>
            <w:r w:rsidR="00F00FF5" w:rsidRPr="00F00FF5">
              <w:rPr>
                <w:szCs w:val="22"/>
              </w:rPr>
              <w:t>May consider setting up a peer review process at the site to have a coordinator not involved in the trial perform SDV</w:t>
            </w:r>
            <w:r w:rsidR="00CF25C3">
              <w:rPr>
                <w:szCs w:val="22"/>
              </w:rPr>
              <w:t xml:space="preserve">/monitoring for the trial.  </w:t>
            </w:r>
            <w:r w:rsidR="00F00FF5" w:rsidRPr="00F00FF5">
              <w:rPr>
                <w:szCs w:val="22"/>
              </w:rPr>
              <w:t>Monitoring visits are recommended a minimum of once per year.</w:t>
            </w:r>
          </w:p>
        </w:tc>
      </w:tr>
      <w:tr w:rsidR="00963FB1" w:rsidRPr="00AF1CC2" w14:paraId="3D7B6CF4" w14:textId="77777777" w:rsidTr="00683974">
        <w:tc>
          <w:tcPr>
            <w:tcW w:w="5000" w:type="pct"/>
            <w:shd w:val="pct12" w:color="auto" w:fill="auto"/>
          </w:tcPr>
          <w:p w14:paraId="628C5A92" w14:textId="77777777" w:rsidR="00963FB1" w:rsidRPr="00AF1CC2" w:rsidRDefault="00963FB1" w:rsidP="00683974">
            <w:pPr>
              <w:rPr>
                <w:b/>
              </w:rPr>
            </w:pPr>
            <w:r w:rsidRPr="00AF1CC2">
              <w:rPr>
                <w:b/>
                <w:szCs w:val="22"/>
              </w:rPr>
              <w:lastRenderedPageBreak/>
              <w:t xml:space="preserve">Level </w:t>
            </w:r>
            <w:r w:rsidR="00D62056">
              <w:rPr>
                <w:b/>
                <w:szCs w:val="22"/>
              </w:rPr>
              <w:t>3</w:t>
            </w:r>
          </w:p>
        </w:tc>
      </w:tr>
      <w:tr w:rsidR="00963FB1" w:rsidRPr="001D1BDE" w14:paraId="355F0CF0" w14:textId="77777777" w:rsidTr="00683974">
        <w:tc>
          <w:tcPr>
            <w:tcW w:w="5000" w:type="pct"/>
          </w:tcPr>
          <w:p w14:paraId="430FA548" w14:textId="500031EA" w:rsidR="00963FB1" w:rsidRPr="00AF1CC2" w:rsidRDefault="00963FB1" w:rsidP="00683974">
            <w:pPr>
              <w:rPr>
                <w:b/>
              </w:rPr>
            </w:pPr>
            <w:r w:rsidRPr="00AF1CC2">
              <w:rPr>
                <w:b/>
                <w:szCs w:val="22"/>
              </w:rPr>
              <w:t>On-site monitoring</w:t>
            </w:r>
            <w:r w:rsidR="00B9302A">
              <w:rPr>
                <w:b/>
                <w:szCs w:val="22"/>
              </w:rPr>
              <w:t xml:space="preserve"> or remote monitoring </w:t>
            </w:r>
          </w:p>
          <w:p w14:paraId="4A44906D" w14:textId="77777777" w:rsidR="004D1BE6" w:rsidRDefault="00CC30F8" w:rsidP="00683974">
            <w:pPr>
              <w:rPr>
                <w:szCs w:val="22"/>
              </w:rPr>
            </w:pPr>
            <w:r w:rsidRPr="00AF1CC2">
              <w:rPr>
                <w:szCs w:val="22"/>
              </w:rPr>
              <w:t xml:space="preserve">SDV of the following critical data points for a </w:t>
            </w:r>
            <w:r w:rsidR="00AB7DC5" w:rsidRPr="00AF1CC2">
              <w:rPr>
                <w:szCs w:val="22"/>
              </w:rPr>
              <w:t>subset (e.g. 10%</w:t>
            </w:r>
            <w:r w:rsidRPr="00AF1CC2">
              <w:rPr>
                <w:szCs w:val="22"/>
              </w:rPr>
              <w:t xml:space="preserve">) of participants: </w:t>
            </w:r>
          </w:p>
          <w:p w14:paraId="43657433" w14:textId="74C4A67F" w:rsidR="00705AB7" w:rsidRDefault="00F00FF5" w:rsidP="00683974">
            <w:pPr>
              <w:numPr>
                <w:ilvl w:val="0"/>
                <w:numId w:val="4"/>
              </w:numPr>
            </w:pPr>
            <w:r>
              <w:rPr>
                <w:szCs w:val="22"/>
              </w:rPr>
              <w:t xml:space="preserve">Informed </w:t>
            </w:r>
            <w:r w:rsidR="004302B5">
              <w:rPr>
                <w:szCs w:val="22"/>
              </w:rPr>
              <w:t>C</w:t>
            </w:r>
            <w:r w:rsidR="00963FB1" w:rsidRPr="00AF1CC2">
              <w:rPr>
                <w:szCs w:val="22"/>
              </w:rPr>
              <w:t>onsent process</w:t>
            </w:r>
          </w:p>
          <w:p w14:paraId="262790C3" w14:textId="77777777" w:rsidR="00705AB7" w:rsidRDefault="004302B5" w:rsidP="00683974">
            <w:pPr>
              <w:numPr>
                <w:ilvl w:val="0"/>
                <w:numId w:val="4"/>
              </w:numPr>
            </w:pPr>
            <w:r>
              <w:rPr>
                <w:szCs w:val="22"/>
              </w:rPr>
              <w:t>E</w:t>
            </w:r>
            <w:r w:rsidR="00963FB1" w:rsidRPr="00AF1CC2">
              <w:rPr>
                <w:szCs w:val="22"/>
              </w:rPr>
              <w:t>ligibility criteria</w:t>
            </w:r>
          </w:p>
          <w:p w14:paraId="56E94036" w14:textId="77777777" w:rsidR="00705AB7" w:rsidRDefault="00963FB1" w:rsidP="00683974">
            <w:pPr>
              <w:numPr>
                <w:ilvl w:val="0"/>
                <w:numId w:val="4"/>
              </w:numPr>
            </w:pPr>
            <w:r w:rsidRPr="00AF1CC2">
              <w:rPr>
                <w:szCs w:val="22"/>
              </w:rPr>
              <w:t>SAEs</w:t>
            </w:r>
          </w:p>
          <w:p w14:paraId="4D513A5F" w14:textId="77777777" w:rsidR="00705AB7" w:rsidRDefault="004302B5" w:rsidP="00683974">
            <w:pPr>
              <w:numPr>
                <w:ilvl w:val="0"/>
                <w:numId w:val="4"/>
              </w:numPr>
            </w:pPr>
            <w:r>
              <w:rPr>
                <w:szCs w:val="22"/>
              </w:rPr>
              <w:t>P</w:t>
            </w:r>
            <w:r w:rsidR="00963FB1" w:rsidRPr="00AF1CC2">
              <w:rPr>
                <w:szCs w:val="22"/>
              </w:rPr>
              <w:t>rimary endpoints</w:t>
            </w:r>
          </w:p>
          <w:p w14:paraId="403937C9" w14:textId="77777777" w:rsidR="00705AB7" w:rsidRDefault="004302B5" w:rsidP="00683974">
            <w:pPr>
              <w:numPr>
                <w:ilvl w:val="0"/>
                <w:numId w:val="4"/>
              </w:numPr>
            </w:pPr>
            <w:r>
              <w:rPr>
                <w:szCs w:val="22"/>
              </w:rPr>
              <w:t>S</w:t>
            </w:r>
            <w:r w:rsidR="00963FB1" w:rsidRPr="00AF1CC2">
              <w:rPr>
                <w:szCs w:val="22"/>
              </w:rPr>
              <w:t>econdary endpoints (as appropriate).</w:t>
            </w:r>
            <w:r w:rsidR="004867C9" w:rsidRPr="00AF1CC2">
              <w:rPr>
                <w:szCs w:val="22"/>
              </w:rPr>
              <w:t xml:space="preserve">  If errors are found greater than </w:t>
            </w:r>
            <w:r w:rsidR="00766C6E" w:rsidRPr="00AF1CC2">
              <w:rPr>
                <w:szCs w:val="22"/>
              </w:rPr>
              <w:t xml:space="preserve">the </w:t>
            </w:r>
            <w:r w:rsidR="004867C9" w:rsidRPr="00AF1CC2">
              <w:rPr>
                <w:szCs w:val="22"/>
              </w:rPr>
              <w:t xml:space="preserve">predefined </w:t>
            </w:r>
            <w:r w:rsidR="00766C6E" w:rsidRPr="00AF1CC2">
              <w:rPr>
                <w:szCs w:val="22"/>
              </w:rPr>
              <w:t xml:space="preserve">error-rate </w:t>
            </w:r>
            <w:r w:rsidR="004867C9" w:rsidRPr="00AF1CC2">
              <w:rPr>
                <w:szCs w:val="22"/>
              </w:rPr>
              <w:t>(protocol-</w:t>
            </w:r>
            <w:r w:rsidR="001D1BDE" w:rsidRPr="00AF1CC2">
              <w:rPr>
                <w:szCs w:val="22"/>
              </w:rPr>
              <w:t xml:space="preserve"> specific and determined in advance e.g. </w:t>
            </w:r>
            <w:r w:rsidR="00F61122">
              <w:rPr>
                <w:szCs w:val="22"/>
              </w:rPr>
              <w:t xml:space="preserve">significant </w:t>
            </w:r>
            <w:r w:rsidR="001D1BDE" w:rsidRPr="00AF1CC2">
              <w:rPr>
                <w:szCs w:val="22"/>
              </w:rPr>
              <w:t>errors &gt; 1 in 10 participant charts) then additional SDV (add-on monitoring) should be performed as required.  Resources should be dedicated to areas that may be more relevant to patient safety and data integrity based on the requirements of the protocol.</w:t>
            </w:r>
          </w:p>
          <w:p w14:paraId="6E1DFBB9" w14:textId="77777777" w:rsidR="00705AB7" w:rsidRDefault="00705AB7" w:rsidP="00683974">
            <w:pPr>
              <w:ind w:left="720"/>
            </w:pPr>
          </w:p>
          <w:p w14:paraId="0F4EE305" w14:textId="77777777" w:rsidR="00D21AA9" w:rsidRPr="00AF1CC2" w:rsidRDefault="00D21AA9" w:rsidP="00683974">
            <w:pPr>
              <w:rPr>
                <w:b/>
              </w:rPr>
            </w:pPr>
            <w:r w:rsidRPr="00AF1CC2">
              <w:rPr>
                <w:b/>
                <w:szCs w:val="22"/>
              </w:rPr>
              <w:t>On-site or remote monitoring</w:t>
            </w:r>
          </w:p>
          <w:p w14:paraId="6067DF33" w14:textId="133BDEEC" w:rsidR="00D21AA9" w:rsidRPr="00AF1CC2" w:rsidRDefault="00D21AA9" w:rsidP="00683974">
            <w:r w:rsidRPr="00AF1CC2">
              <w:rPr>
                <w:szCs w:val="22"/>
              </w:rPr>
              <w:t>CRFs/data generated should be reviewed for a proportion of enrolled participants.</w:t>
            </w:r>
          </w:p>
          <w:p w14:paraId="0BEAA410" w14:textId="77777777" w:rsidR="00D21AA9" w:rsidRDefault="00D21AA9" w:rsidP="00683974">
            <w:pPr>
              <w:rPr>
                <w:szCs w:val="22"/>
              </w:rPr>
            </w:pPr>
            <w:r w:rsidRPr="00AF1CC2">
              <w:rPr>
                <w:szCs w:val="22"/>
              </w:rPr>
              <w:t>Additional monitoring may be required based on findings.  Verification of training documents,</w:t>
            </w:r>
          </w:p>
          <w:p w14:paraId="43A4A8F1" w14:textId="77777777" w:rsidR="001D1BDE" w:rsidRPr="00AF1CC2" w:rsidRDefault="001D1BDE" w:rsidP="00683974">
            <w:r w:rsidRPr="00AF1CC2">
              <w:rPr>
                <w:szCs w:val="22"/>
              </w:rPr>
              <w:t xml:space="preserve">study </w:t>
            </w:r>
            <w:r w:rsidR="00CA54C4">
              <w:rPr>
                <w:szCs w:val="22"/>
              </w:rPr>
              <w:t>regulatory</w:t>
            </w:r>
            <w:r w:rsidRPr="00AF1CC2">
              <w:rPr>
                <w:szCs w:val="22"/>
              </w:rPr>
              <w:t xml:space="preserve"> </w:t>
            </w:r>
            <w:r w:rsidR="00CA54C4">
              <w:rPr>
                <w:szCs w:val="22"/>
              </w:rPr>
              <w:t xml:space="preserve">file </w:t>
            </w:r>
            <w:r w:rsidRPr="00AF1CC2">
              <w:rPr>
                <w:szCs w:val="22"/>
              </w:rPr>
              <w:t>and essential document</w:t>
            </w:r>
            <w:r w:rsidR="00CA54C4">
              <w:rPr>
                <w:szCs w:val="22"/>
              </w:rPr>
              <w:t xml:space="preserve">s </w:t>
            </w:r>
            <w:r w:rsidRPr="00AF1CC2">
              <w:rPr>
                <w:szCs w:val="22"/>
              </w:rPr>
              <w:t>should be performed at least once as it is the Qualified Investigators</w:t>
            </w:r>
            <w:r w:rsidR="009E1EDA">
              <w:rPr>
                <w:szCs w:val="22"/>
              </w:rPr>
              <w:t>/Investigator</w:t>
            </w:r>
            <w:r w:rsidRPr="00AF1CC2">
              <w:rPr>
                <w:szCs w:val="22"/>
              </w:rPr>
              <w:t xml:space="preserve"> responsibility to ensure that </w:t>
            </w:r>
            <w:r w:rsidR="006B59A1" w:rsidRPr="00AF1CC2">
              <w:rPr>
                <w:szCs w:val="22"/>
              </w:rPr>
              <w:t>staff is</w:t>
            </w:r>
            <w:r w:rsidRPr="00AF1CC2">
              <w:rPr>
                <w:szCs w:val="22"/>
              </w:rPr>
              <w:t xml:space="preserve"> trained and that study documentation is stored/archived appropriately.</w:t>
            </w:r>
          </w:p>
          <w:p w14:paraId="1EF2090F" w14:textId="77777777" w:rsidR="004D1BE6" w:rsidRDefault="004D1BE6" w:rsidP="00683974">
            <w:pPr>
              <w:rPr>
                <w:b/>
                <w:szCs w:val="22"/>
              </w:rPr>
            </w:pPr>
          </w:p>
          <w:p w14:paraId="46524051" w14:textId="77777777" w:rsidR="001D1BDE" w:rsidRPr="00AF1CC2" w:rsidRDefault="001D1BDE" w:rsidP="00683974">
            <w:pPr>
              <w:rPr>
                <w:b/>
              </w:rPr>
            </w:pPr>
            <w:r w:rsidRPr="00AF1CC2">
              <w:rPr>
                <w:b/>
                <w:szCs w:val="22"/>
              </w:rPr>
              <w:t>Frequency of visits</w:t>
            </w:r>
          </w:p>
          <w:p w14:paraId="5C7A4249" w14:textId="7798B4AF" w:rsidR="001D1BDE" w:rsidRPr="00AF1CC2" w:rsidRDefault="001D1BDE" w:rsidP="00683974">
            <w:pPr>
              <w:rPr>
                <w:b/>
              </w:rPr>
            </w:pPr>
            <w:r w:rsidRPr="00AF1CC2">
              <w:rPr>
                <w:szCs w:val="22"/>
              </w:rPr>
              <w:t>Timing of visits must be customized based on study design and recruitment strategy</w:t>
            </w:r>
            <w:r w:rsidR="00F00FF5">
              <w:rPr>
                <w:szCs w:val="22"/>
              </w:rPr>
              <w:t xml:space="preserve"> and should be justified in writing in the monitoring plan</w:t>
            </w:r>
            <w:r w:rsidRPr="00AF1CC2">
              <w:rPr>
                <w:szCs w:val="22"/>
              </w:rPr>
              <w:t>.</w:t>
            </w:r>
          </w:p>
          <w:p w14:paraId="30728B84" w14:textId="05CF9836" w:rsidR="00963FB1" w:rsidRPr="00CA54C4" w:rsidRDefault="00963FB1" w:rsidP="00683974">
            <w:pPr>
              <w:rPr>
                <w:szCs w:val="22"/>
              </w:rPr>
            </w:pPr>
          </w:p>
        </w:tc>
      </w:tr>
    </w:tbl>
    <w:p w14:paraId="2390D0A6" w14:textId="77777777" w:rsidR="00963FB1" w:rsidRDefault="00963FB1"/>
    <w:sectPr w:rsidR="00963FB1" w:rsidSect="00370301">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E162D0" w14:textId="77777777" w:rsidR="003E638D" w:rsidRDefault="003E638D" w:rsidP="003B3EEF">
      <w:r>
        <w:separator/>
      </w:r>
    </w:p>
  </w:endnote>
  <w:endnote w:type="continuationSeparator" w:id="0">
    <w:p w14:paraId="768456F8" w14:textId="77777777" w:rsidR="003E638D" w:rsidRDefault="003E638D" w:rsidP="003B3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283540"/>
      <w:docPartObj>
        <w:docPartGallery w:val="Page Numbers (Bottom of Page)"/>
        <w:docPartUnique/>
      </w:docPartObj>
    </w:sdtPr>
    <w:sdtEndPr/>
    <w:sdtContent>
      <w:sdt>
        <w:sdtPr>
          <w:id w:val="-1737150803"/>
          <w:docPartObj>
            <w:docPartGallery w:val="Page Numbers (Top of Page)"/>
            <w:docPartUnique/>
          </w:docPartObj>
        </w:sdtPr>
        <w:sdtEndPr/>
        <w:sdtContent>
          <w:p w14:paraId="0092BD84" w14:textId="6F063613" w:rsidR="00683974" w:rsidRDefault="00683974" w:rsidP="00683974">
            <w:pPr>
              <w:pStyle w:val="Footer"/>
            </w:pPr>
            <w:r>
              <w:t>Version Date: 14 March 2019</w:t>
            </w:r>
            <w:r>
              <w:tab/>
            </w:r>
            <w:r>
              <w:tab/>
              <w:t xml:space="preserve">Page </w:t>
            </w:r>
            <w:r>
              <w:rPr>
                <w:b/>
                <w:bCs/>
                <w:sz w:val="24"/>
              </w:rPr>
              <w:fldChar w:fldCharType="begin"/>
            </w:r>
            <w:r>
              <w:rPr>
                <w:b/>
                <w:bCs/>
              </w:rPr>
              <w:instrText xml:space="preserve"> PAGE </w:instrText>
            </w:r>
            <w:r>
              <w:rPr>
                <w:b/>
                <w:bCs/>
                <w:sz w:val="24"/>
              </w:rPr>
              <w:fldChar w:fldCharType="separate"/>
            </w:r>
            <w:r w:rsidR="009B4142">
              <w:rPr>
                <w:b/>
                <w:bCs/>
                <w:noProof/>
              </w:rPr>
              <w:t>4</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9B4142">
              <w:rPr>
                <w:b/>
                <w:bCs/>
                <w:noProof/>
              </w:rPr>
              <w:t>4</w:t>
            </w:r>
            <w:r>
              <w:rPr>
                <w:b/>
                <w:bCs/>
                <w:sz w:val="24"/>
              </w:rPr>
              <w:fldChar w:fldCharType="end"/>
            </w:r>
          </w:p>
        </w:sdtContent>
      </w:sdt>
    </w:sdtContent>
  </w:sdt>
  <w:p w14:paraId="0C9E5EAE" w14:textId="77777777" w:rsidR="00A37EA4" w:rsidRDefault="00A37EA4" w:rsidP="003B3EE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0329545"/>
      <w:docPartObj>
        <w:docPartGallery w:val="Page Numbers (Bottom of Page)"/>
        <w:docPartUnique/>
      </w:docPartObj>
    </w:sdtPr>
    <w:sdtEndPr/>
    <w:sdtContent>
      <w:sdt>
        <w:sdtPr>
          <w:id w:val="860082579"/>
          <w:docPartObj>
            <w:docPartGallery w:val="Page Numbers (Top of Page)"/>
            <w:docPartUnique/>
          </w:docPartObj>
        </w:sdtPr>
        <w:sdtEndPr/>
        <w:sdtContent>
          <w:p w14:paraId="7178DC46" w14:textId="5F323312" w:rsidR="00C5209F" w:rsidRDefault="00C5209F" w:rsidP="00C5209F">
            <w:pPr>
              <w:pStyle w:val="Footer"/>
            </w:pPr>
            <w:r>
              <w:t>Version Date: 14 March 2019</w:t>
            </w:r>
            <w:r>
              <w:tab/>
            </w:r>
            <w:r>
              <w:tab/>
            </w:r>
            <w:r w:rsidRPr="00C5209F">
              <w:t xml:space="preserve">Page </w:t>
            </w:r>
            <w:r w:rsidRPr="00C5209F">
              <w:rPr>
                <w:bCs/>
                <w:sz w:val="24"/>
              </w:rPr>
              <w:fldChar w:fldCharType="begin"/>
            </w:r>
            <w:r w:rsidRPr="00C5209F">
              <w:rPr>
                <w:bCs/>
              </w:rPr>
              <w:instrText xml:space="preserve"> PAGE </w:instrText>
            </w:r>
            <w:r w:rsidRPr="00C5209F">
              <w:rPr>
                <w:bCs/>
                <w:sz w:val="24"/>
              </w:rPr>
              <w:fldChar w:fldCharType="separate"/>
            </w:r>
            <w:r w:rsidR="009B4142">
              <w:rPr>
                <w:bCs/>
                <w:noProof/>
              </w:rPr>
              <w:t>1</w:t>
            </w:r>
            <w:r w:rsidRPr="00C5209F">
              <w:rPr>
                <w:bCs/>
                <w:sz w:val="24"/>
              </w:rPr>
              <w:fldChar w:fldCharType="end"/>
            </w:r>
            <w:r w:rsidRPr="00C5209F">
              <w:t xml:space="preserve"> of </w:t>
            </w:r>
            <w:r w:rsidRPr="00C5209F">
              <w:rPr>
                <w:bCs/>
                <w:sz w:val="24"/>
              </w:rPr>
              <w:fldChar w:fldCharType="begin"/>
            </w:r>
            <w:r w:rsidRPr="00C5209F">
              <w:rPr>
                <w:bCs/>
              </w:rPr>
              <w:instrText xml:space="preserve"> NUMPAGES  </w:instrText>
            </w:r>
            <w:r w:rsidRPr="00C5209F">
              <w:rPr>
                <w:bCs/>
                <w:sz w:val="24"/>
              </w:rPr>
              <w:fldChar w:fldCharType="separate"/>
            </w:r>
            <w:r w:rsidR="009B4142">
              <w:rPr>
                <w:bCs/>
                <w:noProof/>
              </w:rPr>
              <w:t>4</w:t>
            </w:r>
            <w:r w:rsidRPr="00C5209F">
              <w:rPr>
                <w:bCs/>
                <w:sz w:val="24"/>
              </w:rPr>
              <w:fldChar w:fldCharType="end"/>
            </w:r>
          </w:p>
        </w:sdtContent>
      </w:sdt>
    </w:sdtContent>
  </w:sdt>
  <w:p w14:paraId="302264D1" w14:textId="6F3C2589" w:rsidR="00EC6310" w:rsidRPr="00EC6310" w:rsidRDefault="00EC6310" w:rsidP="00C5209F">
    <w:pPr>
      <w:pStyle w:val="Footer"/>
      <w:rPr>
        <w:lang w:val="en-C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48C73B" w14:textId="77777777" w:rsidR="003E638D" w:rsidRDefault="003E638D" w:rsidP="003B3EEF">
      <w:r>
        <w:separator/>
      </w:r>
    </w:p>
  </w:footnote>
  <w:footnote w:type="continuationSeparator" w:id="0">
    <w:p w14:paraId="452A5798" w14:textId="77777777" w:rsidR="003E638D" w:rsidRDefault="003E638D" w:rsidP="003B3E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0F90"/>
    <w:multiLevelType w:val="hybridMultilevel"/>
    <w:tmpl w:val="9AC892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3B6E66"/>
    <w:multiLevelType w:val="hybridMultilevel"/>
    <w:tmpl w:val="DDA23F9C"/>
    <w:lvl w:ilvl="0" w:tplc="B1F46BF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803225"/>
    <w:multiLevelType w:val="hybridMultilevel"/>
    <w:tmpl w:val="FC2A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2D278A"/>
    <w:multiLevelType w:val="hybridMultilevel"/>
    <w:tmpl w:val="0386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8EC"/>
    <w:rsid w:val="00010DCC"/>
    <w:rsid w:val="00014999"/>
    <w:rsid w:val="000262E2"/>
    <w:rsid w:val="00043B0B"/>
    <w:rsid w:val="00057413"/>
    <w:rsid w:val="0005770A"/>
    <w:rsid w:val="0006729B"/>
    <w:rsid w:val="0007376F"/>
    <w:rsid w:val="00074152"/>
    <w:rsid w:val="00075B3F"/>
    <w:rsid w:val="00084179"/>
    <w:rsid w:val="0008460F"/>
    <w:rsid w:val="00093612"/>
    <w:rsid w:val="000A505D"/>
    <w:rsid w:val="000E21C4"/>
    <w:rsid w:val="00101AB4"/>
    <w:rsid w:val="00121CD0"/>
    <w:rsid w:val="001425E3"/>
    <w:rsid w:val="0014577D"/>
    <w:rsid w:val="001461A0"/>
    <w:rsid w:val="00194410"/>
    <w:rsid w:val="0019666F"/>
    <w:rsid w:val="001978B1"/>
    <w:rsid w:val="001A16AD"/>
    <w:rsid w:val="001B1008"/>
    <w:rsid w:val="001B6F95"/>
    <w:rsid w:val="001C60C5"/>
    <w:rsid w:val="001C6C5F"/>
    <w:rsid w:val="001D1BDE"/>
    <w:rsid w:val="002028BD"/>
    <w:rsid w:val="00203E9B"/>
    <w:rsid w:val="0022238E"/>
    <w:rsid w:val="002417D3"/>
    <w:rsid w:val="0028001E"/>
    <w:rsid w:val="002920D0"/>
    <w:rsid w:val="002A1E4D"/>
    <w:rsid w:val="002A3F2C"/>
    <w:rsid w:val="002B1F31"/>
    <w:rsid w:val="002C0046"/>
    <w:rsid w:val="002C2AFE"/>
    <w:rsid w:val="002C5247"/>
    <w:rsid w:val="002D30CB"/>
    <w:rsid w:val="002F40C1"/>
    <w:rsid w:val="002F6E6E"/>
    <w:rsid w:val="00316593"/>
    <w:rsid w:val="003173DC"/>
    <w:rsid w:val="00342B56"/>
    <w:rsid w:val="003440A3"/>
    <w:rsid w:val="00370301"/>
    <w:rsid w:val="00372DAA"/>
    <w:rsid w:val="00381914"/>
    <w:rsid w:val="003B3EEF"/>
    <w:rsid w:val="003C60BE"/>
    <w:rsid w:val="003D1C7A"/>
    <w:rsid w:val="003E3B0A"/>
    <w:rsid w:val="003E473A"/>
    <w:rsid w:val="003E638D"/>
    <w:rsid w:val="003F41D5"/>
    <w:rsid w:val="003F6A9A"/>
    <w:rsid w:val="00414BF0"/>
    <w:rsid w:val="004244C6"/>
    <w:rsid w:val="004302B5"/>
    <w:rsid w:val="0044696D"/>
    <w:rsid w:val="004515CF"/>
    <w:rsid w:val="00453E85"/>
    <w:rsid w:val="0045486B"/>
    <w:rsid w:val="004578C6"/>
    <w:rsid w:val="004867C9"/>
    <w:rsid w:val="004A44AF"/>
    <w:rsid w:val="004D1BE6"/>
    <w:rsid w:val="004D5B4D"/>
    <w:rsid w:val="00500032"/>
    <w:rsid w:val="005056C7"/>
    <w:rsid w:val="005163F7"/>
    <w:rsid w:val="00535212"/>
    <w:rsid w:val="00550BF0"/>
    <w:rsid w:val="0055498C"/>
    <w:rsid w:val="0055667B"/>
    <w:rsid w:val="00565D0A"/>
    <w:rsid w:val="0057538C"/>
    <w:rsid w:val="00580FF6"/>
    <w:rsid w:val="005954EE"/>
    <w:rsid w:val="005B5CDF"/>
    <w:rsid w:val="005C60C9"/>
    <w:rsid w:val="005E7140"/>
    <w:rsid w:val="00600B59"/>
    <w:rsid w:val="00604341"/>
    <w:rsid w:val="0060444F"/>
    <w:rsid w:val="00612F27"/>
    <w:rsid w:val="0062196F"/>
    <w:rsid w:val="00623398"/>
    <w:rsid w:val="0062526F"/>
    <w:rsid w:val="00634DA2"/>
    <w:rsid w:val="00636C09"/>
    <w:rsid w:val="0063770C"/>
    <w:rsid w:val="006419C7"/>
    <w:rsid w:val="00671A82"/>
    <w:rsid w:val="00683974"/>
    <w:rsid w:val="006853F4"/>
    <w:rsid w:val="00693DA6"/>
    <w:rsid w:val="006A0C59"/>
    <w:rsid w:val="006A5D89"/>
    <w:rsid w:val="006B59A1"/>
    <w:rsid w:val="006E4E5B"/>
    <w:rsid w:val="006F38A6"/>
    <w:rsid w:val="00705AB7"/>
    <w:rsid w:val="007071DB"/>
    <w:rsid w:val="00766C6E"/>
    <w:rsid w:val="00771248"/>
    <w:rsid w:val="00777943"/>
    <w:rsid w:val="00782CCF"/>
    <w:rsid w:val="007908B8"/>
    <w:rsid w:val="0079542A"/>
    <w:rsid w:val="007A277C"/>
    <w:rsid w:val="007B35CC"/>
    <w:rsid w:val="00813FF0"/>
    <w:rsid w:val="00814844"/>
    <w:rsid w:val="00826291"/>
    <w:rsid w:val="0082740C"/>
    <w:rsid w:val="00855459"/>
    <w:rsid w:val="00856DE8"/>
    <w:rsid w:val="00861378"/>
    <w:rsid w:val="00865BFE"/>
    <w:rsid w:val="008712BA"/>
    <w:rsid w:val="00893065"/>
    <w:rsid w:val="00896A0F"/>
    <w:rsid w:val="008B0B2E"/>
    <w:rsid w:val="008C520F"/>
    <w:rsid w:val="008D198A"/>
    <w:rsid w:val="008F2537"/>
    <w:rsid w:val="008F4051"/>
    <w:rsid w:val="009017D1"/>
    <w:rsid w:val="00917491"/>
    <w:rsid w:val="009372BA"/>
    <w:rsid w:val="009373E5"/>
    <w:rsid w:val="00953B56"/>
    <w:rsid w:val="0095779B"/>
    <w:rsid w:val="00963FB1"/>
    <w:rsid w:val="00976E48"/>
    <w:rsid w:val="00990AD8"/>
    <w:rsid w:val="009A65ED"/>
    <w:rsid w:val="009A7539"/>
    <w:rsid w:val="009B4142"/>
    <w:rsid w:val="009B68B2"/>
    <w:rsid w:val="009C146F"/>
    <w:rsid w:val="009C4EE5"/>
    <w:rsid w:val="009C7BF3"/>
    <w:rsid w:val="009E1EDA"/>
    <w:rsid w:val="009E2CFD"/>
    <w:rsid w:val="009F20EA"/>
    <w:rsid w:val="00A0293F"/>
    <w:rsid w:val="00A04E48"/>
    <w:rsid w:val="00A12A20"/>
    <w:rsid w:val="00A14747"/>
    <w:rsid w:val="00A37EA4"/>
    <w:rsid w:val="00A41979"/>
    <w:rsid w:val="00A445B5"/>
    <w:rsid w:val="00A476F9"/>
    <w:rsid w:val="00A62E1E"/>
    <w:rsid w:val="00A65E97"/>
    <w:rsid w:val="00A9730A"/>
    <w:rsid w:val="00AA234F"/>
    <w:rsid w:val="00AB130B"/>
    <w:rsid w:val="00AB7DC5"/>
    <w:rsid w:val="00AE313D"/>
    <w:rsid w:val="00AE4B1C"/>
    <w:rsid w:val="00AF1CC2"/>
    <w:rsid w:val="00AF4C4E"/>
    <w:rsid w:val="00B12231"/>
    <w:rsid w:val="00B21231"/>
    <w:rsid w:val="00B23A2C"/>
    <w:rsid w:val="00B27C3F"/>
    <w:rsid w:val="00B40A4B"/>
    <w:rsid w:val="00B41E55"/>
    <w:rsid w:val="00B4667E"/>
    <w:rsid w:val="00B46D8E"/>
    <w:rsid w:val="00B9302A"/>
    <w:rsid w:val="00B97E5A"/>
    <w:rsid w:val="00BA4421"/>
    <w:rsid w:val="00BB24F5"/>
    <w:rsid w:val="00BB491C"/>
    <w:rsid w:val="00BB57C3"/>
    <w:rsid w:val="00BB749F"/>
    <w:rsid w:val="00BD56F9"/>
    <w:rsid w:val="00C0643D"/>
    <w:rsid w:val="00C1003B"/>
    <w:rsid w:val="00C128EC"/>
    <w:rsid w:val="00C3181E"/>
    <w:rsid w:val="00C41368"/>
    <w:rsid w:val="00C5209F"/>
    <w:rsid w:val="00C54252"/>
    <w:rsid w:val="00C61ABC"/>
    <w:rsid w:val="00C64CA8"/>
    <w:rsid w:val="00C914A3"/>
    <w:rsid w:val="00C94BE6"/>
    <w:rsid w:val="00CA2DBF"/>
    <w:rsid w:val="00CA54C4"/>
    <w:rsid w:val="00CA5B74"/>
    <w:rsid w:val="00CB0F06"/>
    <w:rsid w:val="00CB2C54"/>
    <w:rsid w:val="00CB4E41"/>
    <w:rsid w:val="00CB5EDB"/>
    <w:rsid w:val="00CC30F8"/>
    <w:rsid w:val="00CE2594"/>
    <w:rsid w:val="00CF25C3"/>
    <w:rsid w:val="00CF28A2"/>
    <w:rsid w:val="00D1411B"/>
    <w:rsid w:val="00D16F6E"/>
    <w:rsid w:val="00D21AA9"/>
    <w:rsid w:val="00D46BA6"/>
    <w:rsid w:val="00D62056"/>
    <w:rsid w:val="00D65017"/>
    <w:rsid w:val="00D65D30"/>
    <w:rsid w:val="00D67834"/>
    <w:rsid w:val="00D71447"/>
    <w:rsid w:val="00DA2BAF"/>
    <w:rsid w:val="00DB1466"/>
    <w:rsid w:val="00DD479C"/>
    <w:rsid w:val="00E01595"/>
    <w:rsid w:val="00E20222"/>
    <w:rsid w:val="00E24C68"/>
    <w:rsid w:val="00E5051E"/>
    <w:rsid w:val="00E521EF"/>
    <w:rsid w:val="00E57B84"/>
    <w:rsid w:val="00E57D64"/>
    <w:rsid w:val="00E60E2A"/>
    <w:rsid w:val="00E611EF"/>
    <w:rsid w:val="00E65A45"/>
    <w:rsid w:val="00E66154"/>
    <w:rsid w:val="00E76A23"/>
    <w:rsid w:val="00E86D09"/>
    <w:rsid w:val="00E9482B"/>
    <w:rsid w:val="00EB473B"/>
    <w:rsid w:val="00EC6310"/>
    <w:rsid w:val="00ED2E70"/>
    <w:rsid w:val="00ED618C"/>
    <w:rsid w:val="00ED680E"/>
    <w:rsid w:val="00ED6AC8"/>
    <w:rsid w:val="00ED6D75"/>
    <w:rsid w:val="00ED7FF6"/>
    <w:rsid w:val="00EE0330"/>
    <w:rsid w:val="00EE44EC"/>
    <w:rsid w:val="00EE5FA6"/>
    <w:rsid w:val="00F00FF5"/>
    <w:rsid w:val="00F06A56"/>
    <w:rsid w:val="00F13AE7"/>
    <w:rsid w:val="00F154F4"/>
    <w:rsid w:val="00F15D06"/>
    <w:rsid w:val="00F40E78"/>
    <w:rsid w:val="00F61122"/>
    <w:rsid w:val="00F6329E"/>
    <w:rsid w:val="00F67165"/>
    <w:rsid w:val="00F70602"/>
    <w:rsid w:val="00F802AD"/>
    <w:rsid w:val="00F82696"/>
    <w:rsid w:val="00F82E11"/>
    <w:rsid w:val="00FC32D8"/>
    <w:rsid w:val="00FD69A4"/>
    <w:rsid w:val="00FD6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ECC1995"/>
  <w15:docId w15:val="{08AAEE29-0EA2-427E-9552-991671CD3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8EC"/>
    <w:rPr>
      <w:rFonts w:ascii="Arial" w:eastAsia="Times New Roman" w:hAnsi="Arial"/>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128EC"/>
    <w:pPr>
      <w:ind w:left="720"/>
      <w:contextualSpacing/>
    </w:pPr>
  </w:style>
  <w:style w:type="paragraph" w:styleId="Header">
    <w:name w:val="header"/>
    <w:basedOn w:val="Normal"/>
    <w:link w:val="HeaderChar"/>
    <w:uiPriority w:val="99"/>
    <w:semiHidden/>
    <w:rsid w:val="003B3EEF"/>
    <w:pPr>
      <w:tabs>
        <w:tab w:val="center" w:pos="4680"/>
        <w:tab w:val="right" w:pos="9360"/>
      </w:tabs>
    </w:pPr>
  </w:style>
  <w:style w:type="character" w:customStyle="1" w:styleId="HeaderChar">
    <w:name w:val="Header Char"/>
    <w:link w:val="Header"/>
    <w:uiPriority w:val="99"/>
    <w:semiHidden/>
    <w:locked/>
    <w:rsid w:val="003B3EEF"/>
    <w:rPr>
      <w:rFonts w:ascii="Arial" w:hAnsi="Arial" w:cs="Times New Roman"/>
      <w:sz w:val="24"/>
      <w:szCs w:val="24"/>
      <w:lang w:val="en-GB"/>
    </w:rPr>
  </w:style>
  <w:style w:type="paragraph" w:styleId="Footer">
    <w:name w:val="footer"/>
    <w:basedOn w:val="Normal"/>
    <w:link w:val="FooterChar"/>
    <w:uiPriority w:val="99"/>
    <w:rsid w:val="003B3EEF"/>
    <w:pPr>
      <w:tabs>
        <w:tab w:val="center" w:pos="4680"/>
        <w:tab w:val="right" w:pos="9360"/>
      </w:tabs>
    </w:pPr>
  </w:style>
  <w:style w:type="character" w:customStyle="1" w:styleId="FooterChar">
    <w:name w:val="Footer Char"/>
    <w:link w:val="Footer"/>
    <w:uiPriority w:val="99"/>
    <w:locked/>
    <w:rsid w:val="003B3EEF"/>
    <w:rPr>
      <w:rFonts w:ascii="Arial" w:hAnsi="Arial" w:cs="Times New Roman"/>
      <w:sz w:val="24"/>
      <w:szCs w:val="24"/>
      <w:lang w:val="en-GB"/>
    </w:rPr>
  </w:style>
  <w:style w:type="character" w:styleId="CommentReference">
    <w:name w:val="annotation reference"/>
    <w:uiPriority w:val="99"/>
    <w:semiHidden/>
    <w:rsid w:val="00AE313D"/>
    <w:rPr>
      <w:rFonts w:cs="Times New Roman"/>
      <w:sz w:val="16"/>
      <w:szCs w:val="16"/>
    </w:rPr>
  </w:style>
  <w:style w:type="paragraph" w:styleId="CommentText">
    <w:name w:val="annotation text"/>
    <w:basedOn w:val="Normal"/>
    <w:link w:val="CommentTextChar"/>
    <w:uiPriority w:val="99"/>
    <w:semiHidden/>
    <w:rsid w:val="00AE313D"/>
    <w:rPr>
      <w:sz w:val="20"/>
      <w:szCs w:val="20"/>
    </w:rPr>
  </w:style>
  <w:style w:type="character" w:customStyle="1" w:styleId="CommentTextChar">
    <w:name w:val="Comment Text Char"/>
    <w:link w:val="CommentText"/>
    <w:uiPriority w:val="99"/>
    <w:semiHidden/>
    <w:locked/>
    <w:rsid w:val="00AE313D"/>
    <w:rPr>
      <w:rFonts w:ascii="Arial" w:hAnsi="Arial" w:cs="Times New Roman"/>
      <w:sz w:val="20"/>
      <w:szCs w:val="20"/>
      <w:lang w:val="en-GB"/>
    </w:rPr>
  </w:style>
  <w:style w:type="paragraph" w:styleId="CommentSubject">
    <w:name w:val="annotation subject"/>
    <w:basedOn w:val="CommentText"/>
    <w:next w:val="CommentText"/>
    <w:link w:val="CommentSubjectChar"/>
    <w:uiPriority w:val="99"/>
    <w:semiHidden/>
    <w:rsid w:val="00AE313D"/>
    <w:rPr>
      <w:b/>
      <w:bCs/>
    </w:rPr>
  </w:style>
  <w:style w:type="character" w:customStyle="1" w:styleId="CommentSubjectChar">
    <w:name w:val="Comment Subject Char"/>
    <w:link w:val="CommentSubject"/>
    <w:uiPriority w:val="99"/>
    <w:semiHidden/>
    <w:locked/>
    <w:rsid w:val="00AE313D"/>
    <w:rPr>
      <w:rFonts w:ascii="Arial" w:hAnsi="Arial" w:cs="Times New Roman"/>
      <w:b/>
      <w:bCs/>
      <w:sz w:val="20"/>
      <w:szCs w:val="20"/>
      <w:lang w:val="en-GB"/>
    </w:rPr>
  </w:style>
  <w:style w:type="paragraph" w:styleId="BalloonText">
    <w:name w:val="Balloon Text"/>
    <w:basedOn w:val="Normal"/>
    <w:link w:val="BalloonTextChar"/>
    <w:uiPriority w:val="99"/>
    <w:semiHidden/>
    <w:rsid w:val="00AE313D"/>
    <w:rPr>
      <w:rFonts w:ascii="Tahoma" w:hAnsi="Tahoma" w:cs="Tahoma"/>
      <w:sz w:val="16"/>
      <w:szCs w:val="16"/>
    </w:rPr>
  </w:style>
  <w:style w:type="character" w:customStyle="1" w:styleId="BalloonTextChar">
    <w:name w:val="Balloon Text Char"/>
    <w:link w:val="BalloonText"/>
    <w:uiPriority w:val="99"/>
    <w:semiHidden/>
    <w:locked/>
    <w:rsid w:val="00AE313D"/>
    <w:rPr>
      <w:rFonts w:ascii="Tahoma" w:hAnsi="Tahoma" w:cs="Tahoma"/>
      <w:sz w:val="16"/>
      <w:szCs w:val="16"/>
      <w:lang w:val="en-GB"/>
    </w:rPr>
  </w:style>
  <w:style w:type="character" w:styleId="HTMLAcronym">
    <w:name w:val="HTML Acronym"/>
    <w:basedOn w:val="DefaultParagraphFont"/>
    <w:uiPriority w:val="99"/>
    <w:semiHidden/>
    <w:unhideWhenUsed/>
    <w:rsid w:val="00D46BA6"/>
  </w:style>
  <w:style w:type="paragraph" w:styleId="Revision">
    <w:name w:val="Revision"/>
    <w:hidden/>
    <w:uiPriority w:val="99"/>
    <w:semiHidden/>
    <w:rsid w:val="00ED680E"/>
    <w:rPr>
      <w:rFonts w:ascii="Arial" w:eastAsia="Times New Roman" w:hAnsi="Arial"/>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1267</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Monitoring Risk Level Tool</vt:lpstr>
    </vt:vector>
  </TitlesOfParts>
  <Company>Toshiba</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Risk Level Tool</dc:title>
  <dc:creator>amsharaf</dc:creator>
  <cp:lastModifiedBy>Linda Longpre</cp:lastModifiedBy>
  <cp:revision>2</cp:revision>
  <dcterms:created xsi:type="dcterms:W3CDTF">2020-01-22T19:41:00Z</dcterms:created>
  <dcterms:modified xsi:type="dcterms:W3CDTF">2020-01-22T19:41:00Z</dcterms:modified>
</cp:coreProperties>
</file>